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E29F6" w14:textId="77777777" w:rsidR="00F823F0" w:rsidRPr="00CC1E6C" w:rsidRDefault="00F823F0" w:rsidP="00F823F0">
      <w:pPr>
        <w:pStyle w:val="Body"/>
        <w:spacing w:line="276" w:lineRule="auto"/>
        <w:rPr>
          <w:rFonts w:ascii="Arial" w:hAnsi="Arial" w:cs="Arial"/>
          <w:b/>
          <w:color w:val="000000"/>
        </w:rPr>
      </w:pPr>
      <w:r>
        <w:rPr>
          <w:rFonts w:ascii="Arial" w:hAnsi="Arial" w:cs="Arial"/>
          <w:b/>
          <w:noProof/>
          <w:color w:val="1F3864"/>
          <w:sz w:val="36"/>
          <w:szCs w:val="36"/>
        </w:rPr>
        <w:drawing>
          <wp:inline distT="0" distB="0" distL="0" distR="0" wp14:anchorId="76F98ED1" wp14:editId="5EE8DFBC">
            <wp:extent cx="5731510" cy="55245"/>
            <wp:effectExtent l="0" t="0" r="2540" b="1905"/>
            <wp:docPr id="1862644192" name="Picture 18626441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55245"/>
                    </a:xfrm>
                    <a:prstGeom prst="rect">
                      <a:avLst/>
                    </a:prstGeom>
                    <a:noFill/>
                  </pic:spPr>
                </pic:pic>
              </a:graphicData>
            </a:graphic>
          </wp:inline>
        </w:drawing>
      </w:r>
    </w:p>
    <w:p w14:paraId="78BC8C18" w14:textId="77777777" w:rsidR="00F823F0" w:rsidRDefault="00F823F0" w:rsidP="00F823F0">
      <w:pPr>
        <w:jc w:val="left"/>
        <w:rPr>
          <w:rFonts w:eastAsia="Calibri" w:cs="Arial"/>
          <w:b/>
          <w:bCs/>
          <w:color w:val="0A2F41" w:themeColor="accent1" w:themeShade="80"/>
          <w:sz w:val="36"/>
          <w:szCs w:val="36"/>
        </w:rPr>
      </w:pPr>
      <w:r w:rsidRPr="00983483">
        <w:rPr>
          <w:rFonts w:eastAsia="Calibri" w:cs="Arial"/>
          <w:b/>
          <w:bCs/>
          <w:color w:val="0A2F41" w:themeColor="accent1" w:themeShade="80"/>
          <w:sz w:val="36"/>
          <w:szCs w:val="36"/>
        </w:rPr>
        <w:t>Between Hope and Harm: The Emotional Ecology of Youth Justice Practice with Gang</w:t>
      </w:r>
      <w:r w:rsidRPr="00983483">
        <w:rPr>
          <w:rFonts w:eastAsia="Calibri" w:cs="Arial"/>
          <w:b/>
          <w:bCs/>
          <w:color w:val="0A2F41" w:themeColor="accent1" w:themeShade="80"/>
          <w:sz w:val="36"/>
          <w:szCs w:val="36"/>
        </w:rPr>
        <w:noBreakHyphen/>
        <w:t>Affected Adolescents</w:t>
      </w:r>
    </w:p>
    <w:p w14:paraId="74576ABA" w14:textId="77777777" w:rsidR="00F823F0" w:rsidRPr="009709D6" w:rsidRDefault="00F823F0" w:rsidP="00F823F0">
      <w:pPr>
        <w:rPr>
          <w:i/>
          <w:iCs/>
        </w:rPr>
      </w:pPr>
      <w:r>
        <w:t>Laura Chambers</w:t>
      </w:r>
      <w:r w:rsidRPr="009709D6">
        <w:t xml:space="preserve">, </w:t>
      </w:r>
      <w:r>
        <w:rPr>
          <w:i/>
          <w:iCs/>
        </w:rPr>
        <w:t xml:space="preserve">London Metropolitan University  </w:t>
      </w:r>
    </w:p>
    <w:p w14:paraId="58A66511" w14:textId="77777777" w:rsidR="00F823F0" w:rsidRPr="0081572C" w:rsidRDefault="00F823F0" w:rsidP="00F823F0">
      <w:pPr>
        <w:spacing w:after="0" w:afterAutospacing="0" w:line="276" w:lineRule="auto"/>
        <w:rPr>
          <w:rFonts w:cs="Arial"/>
          <w:bCs/>
        </w:rPr>
      </w:pPr>
      <w:r w:rsidRPr="007523BF">
        <w:rPr>
          <w:noProof/>
          <w:color w:val="FF0000"/>
          <w:lang w:eastAsia="en-GB"/>
        </w:rPr>
        <w:drawing>
          <wp:inline distT="0" distB="0" distL="0" distR="0" wp14:anchorId="26DC1A39" wp14:editId="64E6B7E6">
            <wp:extent cx="5731510" cy="55245"/>
            <wp:effectExtent l="0" t="0" r="2540" b="1905"/>
            <wp:docPr id="935747910" name="Picture 9357479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a:extLst>
                        <a:ext uri="{C183D7F6-B498-43B3-948B-1728B52AA6E4}">
                          <adec:decorative xmlns:adec="http://schemas.microsoft.com/office/drawing/2017/decorative" val="1"/>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55245"/>
                    </a:xfrm>
                    <a:prstGeom prst="rect">
                      <a:avLst/>
                    </a:prstGeom>
                    <a:noFill/>
                  </pic:spPr>
                </pic:pic>
              </a:graphicData>
            </a:graphic>
          </wp:inline>
        </w:drawing>
      </w:r>
    </w:p>
    <w:p w14:paraId="028034FD" w14:textId="77777777" w:rsidR="00F823F0" w:rsidRDefault="00F823F0" w:rsidP="00F823F0">
      <w:pPr>
        <w:spacing w:line="276" w:lineRule="auto"/>
      </w:pPr>
    </w:p>
    <w:p w14:paraId="0B7D9266" w14:textId="77777777" w:rsidR="00F823F0" w:rsidRPr="00983483" w:rsidRDefault="00F823F0" w:rsidP="00F823F0">
      <w:pPr>
        <w:spacing w:line="276" w:lineRule="auto"/>
      </w:pPr>
      <w:r w:rsidRPr="00983483">
        <w:t>Youth justice practitioners in England and Wales working with gang</w:t>
      </w:r>
      <w:r w:rsidRPr="00983483">
        <w:noBreakHyphen/>
        <w:t xml:space="preserve">affected children occupy an emotional landscape that is rarely acknowledged in criminological scholarship, policy or practice. While burnout and vicarious trauma have been extensively examined in policing (McCarty et al., 2019), probation (Tidmarsh, 2020), social work (Collins, 2008), juvenile justice in the United States (Salyers et al., 2015) and other fields (Baird and Jenkins, 2003; Anderson et al., 2020), the emotional toll of youth justice work in England and Wales remains largely invisible, with the exception of  </w:t>
      </w:r>
      <w:proofErr w:type="spellStart"/>
      <w:r w:rsidRPr="00983483">
        <w:t>Zempi’s</w:t>
      </w:r>
      <w:proofErr w:type="spellEnd"/>
      <w:r w:rsidRPr="00983483">
        <w:t xml:space="preserve"> (2025) study. This absence is striking given the intensity of the emotional labour required to support young people whose lives are shaped by violence, trauma, exploitation and marginalisation. Youth justice occupies a transitional space between welfare and criminal justice, care and control, childhood and adulthood.  Some of the findings from existing studies on burnout are likely to be transferable to youth justice contexts, however, as I prepare to undertake doctoral research on burnout in youth justice practitioners who work with gang-affected children, it is evident that the emotional ecology underpinning this work receives too little theoretical and organisational attention. This reflective piece explores the affective terrain practitioners navigate and argues that youth justice deserves far greater attention within affective criminology.</w:t>
      </w:r>
    </w:p>
    <w:p w14:paraId="6B660748" w14:textId="77777777" w:rsidR="00F823F0" w:rsidRPr="00983483" w:rsidRDefault="00F823F0" w:rsidP="00F823F0">
      <w:pPr>
        <w:spacing w:line="276" w:lineRule="auto"/>
        <w:rPr>
          <w:b/>
          <w:bCs/>
        </w:rPr>
      </w:pPr>
      <w:r w:rsidRPr="00983483">
        <w:rPr>
          <w:b/>
          <w:bCs/>
        </w:rPr>
        <w:t>Youth Justice as an Affective Field</w:t>
      </w:r>
    </w:p>
    <w:p w14:paraId="443236C7" w14:textId="77777777" w:rsidR="00F823F0" w:rsidRPr="00983483" w:rsidRDefault="00F823F0" w:rsidP="00F823F0">
      <w:pPr>
        <w:spacing w:line="276" w:lineRule="auto"/>
      </w:pPr>
      <w:r w:rsidRPr="00983483">
        <w:t xml:space="preserve">Youth justice practice has historically been framed in terms of risk assessment and management, intervention planning and statutory compliance (Farrington, 2000), although positively that landscape is changing with the implementation of child-first practice (Case et al., 2024). Beneath these procedural layers lies a deeply affective field. Practitioners routinely encounter children whose lives are marked by instability, loss, community violence, adverse childhood experiences or ACEs (Jacob et al., 2019), and the cumulative effects of structural disadvantage. Practitioners must build relationships with adolescents who may be guarded, traumatised, mistrustful of professionals, or trapped in peer networks where violence is normalised. They must make decisions that carry moral weight: whether to breach a young person (return them to court for possible further sanction), whether to escalate safeguarding concerns, whether to challenge or contain risky behaviour. These decisions might be based on statutory frameworks and </w:t>
      </w:r>
      <w:proofErr w:type="gramStart"/>
      <w:r w:rsidRPr="00983483">
        <w:t>guidelines, but</w:t>
      </w:r>
      <w:proofErr w:type="gramEnd"/>
      <w:r w:rsidRPr="00983483">
        <w:t xml:space="preserve"> can also be accompanied by strong emotions due to the practitioners’ relationship with the child. </w:t>
      </w:r>
    </w:p>
    <w:p w14:paraId="556C54EC" w14:textId="77777777" w:rsidR="00F823F0" w:rsidRPr="00983483" w:rsidRDefault="00F823F0" w:rsidP="00F823F0">
      <w:pPr>
        <w:spacing w:line="276" w:lineRule="auto"/>
      </w:pPr>
      <w:r w:rsidRPr="00983483">
        <w:t xml:space="preserve">Despite this, youth justice is rarely conceptualised within academic literature as emotional labour. Practitioners are expected to absorb stories of trauma, manage crises, and maintain </w:t>
      </w:r>
      <w:r w:rsidRPr="00983483">
        <w:lastRenderedPageBreak/>
        <w:t>professional composure in what can at times be significantly emotionally challenging work. Youth justice practitioners often adopt a relational, strengths</w:t>
      </w:r>
      <w:r w:rsidRPr="00983483">
        <w:noBreakHyphen/>
        <w:t>based approach that emphasises children’s potential rather than their risk. This can obscure the emotional toll of the work, as practitioners prioritise children’s needs over their own wellbeing. The result is a profession that quietly absorbs emotional strain without the recognition or support afforded to other sectors.</w:t>
      </w:r>
    </w:p>
    <w:p w14:paraId="3802B967" w14:textId="77777777" w:rsidR="00F823F0" w:rsidRPr="00983483" w:rsidRDefault="00F823F0" w:rsidP="00F823F0">
      <w:pPr>
        <w:spacing w:line="276" w:lineRule="auto"/>
        <w:rPr>
          <w:b/>
          <w:bCs/>
        </w:rPr>
      </w:pPr>
      <w:r w:rsidRPr="00983483">
        <w:rPr>
          <w:b/>
          <w:bCs/>
        </w:rPr>
        <w:t>Fear: Navigating Risk, Violence and Uncertainty</w:t>
      </w:r>
    </w:p>
    <w:p w14:paraId="5B8F6BD3" w14:textId="77777777" w:rsidR="00F823F0" w:rsidRPr="00983483" w:rsidRDefault="00F823F0" w:rsidP="00F823F0">
      <w:pPr>
        <w:spacing w:line="276" w:lineRule="auto"/>
      </w:pPr>
      <w:r w:rsidRPr="00983483">
        <w:t>Fear is an often</w:t>
      </w:r>
      <w:r w:rsidRPr="00983483">
        <w:noBreakHyphen/>
        <w:t>unspoken but potentially pervasive emotion in youth justice practice. Practitioners may fear for young people’s safety, particularly those involved in gang</w:t>
      </w:r>
      <w:r w:rsidRPr="00983483">
        <w:noBreakHyphen/>
        <w:t xml:space="preserve">affected violence, exploitation or retaliatory harm. They may fear that a young person will be seriously injured or killed, be involved in the serious harm or death of another person. Children at times disclose concerns over travelling to </w:t>
      </w:r>
      <w:proofErr w:type="gramStart"/>
      <w:r w:rsidRPr="00983483">
        <w:t>particular geographic</w:t>
      </w:r>
      <w:proofErr w:type="gramEnd"/>
      <w:r w:rsidRPr="00983483">
        <w:t xml:space="preserve"> areas, or on </w:t>
      </w:r>
      <w:proofErr w:type="gramStart"/>
      <w:r w:rsidRPr="00983483">
        <w:t>particular modes</w:t>
      </w:r>
      <w:proofErr w:type="gramEnd"/>
      <w:r w:rsidRPr="00983483">
        <w:t xml:space="preserve"> of transport due to incidents which have happened to their friends, and this can add an additional layer of anxiety for the practitioner who wants to ensure the safety of the child in the community. This anticipatory anxiety is a form of emotional hypervigilance that can become chronic (HMIP, 2024). </w:t>
      </w:r>
    </w:p>
    <w:p w14:paraId="28285B77" w14:textId="77777777" w:rsidR="00F823F0" w:rsidRPr="00983483" w:rsidRDefault="00F823F0" w:rsidP="00F823F0">
      <w:pPr>
        <w:spacing w:line="276" w:lineRule="auto"/>
      </w:pPr>
      <w:r w:rsidRPr="00983483">
        <w:t>There is also fear for one’s own safety. Home visits and community outreach can expose practitioners to volatile situations. While youth justice is not typically framed as a frontline emergency service, practitioners often operate in unpredictable environments where tensions can escalate quickly. The emotional labour of managing one’s own fear, while projecting calm, author</w:t>
      </w:r>
      <w:r>
        <w:t>i</w:t>
      </w:r>
      <w:r w:rsidRPr="00983483">
        <w:t>ty and relational safety, is significant.</w:t>
      </w:r>
    </w:p>
    <w:p w14:paraId="2F49A798" w14:textId="77777777" w:rsidR="00F823F0" w:rsidRPr="00983483" w:rsidRDefault="00F823F0" w:rsidP="00F823F0">
      <w:pPr>
        <w:spacing w:line="276" w:lineRule="auto"/>
      </w:pPr>
      <w:r w:rsidRPr="00983483">
        <w:t>Fear can also manifest in more subtle ways: fear of making the wrong decision, fear of organisational scrutiny, fear of being blamed in the aftermath of a serious incident. Inspection regimes and risk</w:t>
      </w:r>
      <w:r w:rsidRPr="00983483">
        <w:noBreakHyphen/>
        <w:t xml:space="preserve">averse cultures can amplify this emotional pressure. </w:t>
      </w:r>
    </w:p>
    <w:p w14:paraId="37AF3102" w14:textId="77777777" w:rsidR="00F823F0" w:rsidRPr="00983483" w:rsidRDefault="00F823F0" w:rsidP="00F823F0">
      <w:pPr>
        <w:spacing w:line="276" w:lineRule="auto"/>
        <w:rPr>
          <w:b/>
          <w:bCs/>
        </w:rPr>
      </w:pPr>
      <w:r w:rsidRPr="00983483">
        <w:rPr>
          <w:b/>
          <w:bCs/>
        </w:rPr>
        <w:t>Anger: Moral Distress and Systemic Frustration</w:t>
      </w:r>
    </w:p>
    <w:p w14:paraId="56F7FBCE" w14:textId="77777777" w:rsidR="00F823F0" w:rsidRPr="00983483" w:rsidRDefault="00F823F0" w:rsidP="00F823F0">
      <w:pPr>
        <w:spacing w:line="276" w:lineRule="auto"/>
      </w:pPr>
      <w:r w:rsidRPr="00983483">
        <w:t xml:space="preserve">Anger is another emotion that practitioners may encounter but struggle to articulate. In this context, anger refers to a response to systemic failures that constrain practitioners’ ability to protect or support a child. Practitioners may feel anger when a child is denied housing or local authority care, when mental health services are unable to engage with a child, when schools exclude rather than support, or when criminal justice responses feel disproportionate or inconsistent. These moments generate moral distress – the emotional discomfort that arises when one knows the right course of action but is unable to pursue it due to structural barriers. </w:t>
      </w:r>
    </w:p>
    <w:p w14:paraId="02840520" w14:textId="77777777" w:rsidR="00F823F0" w:rsidRPr="00983483" w:rsidRDefault="00F823F0" w:rsidP="00F823F0">
      <w:pPr>
        <w:spacing w:line="276" w:lineRule="auto"/>
      </w:pPr>
      <w:r w:rsidRPr="00983483">
        <w:t xml:space="preserve">Anger also emerges in response to preventable harm. When a young person is assaulted, exploited or criminalised in ways that could have been avoided with earlier intervention, practitioners may feel a deep sense of frustration at the systems that failed them. Serious case reviews may identify similar trajectories for </w:t>
      </w:r>
      <w:proofErr w:type="gramStart"/>
      <w:r w:rsidRPr="00983483">
        <w:t>a number of</w:t>
      </w:r>
      <w:proofErr w:type="gramEnd"/>
      <w:r w:rsidRPr="00983483">
        <w:t xml:space="preserve"> children, as well as the failed opportunities to step in and prevent escalation (Griffin, 2023). Given the boundaries of the professional environment, this anger can be internalised, suppressed or redirected into professional stoicism, but it can accumulate over time, contributing to emotional exhaustion, one of the core components of burnout (Maslach, 1993).</w:t>
      </w:r>
    </w:p>
    <w:p w14:paraId="1DC556B2" w14:textId="77777777" w:rsidR="00F823F0" w:rsidRPr="00983483" w:rsidRDefault="00F823F0" w:rsidP="00F823F0">
      <w:pPr>
        <w:spacing w:line="276" w:lineRule="auto"/>
        <w:rPr>
          <w:i/>
          <w:iCs/>
        </w:rPr>
      </w:pPr>
      <w:r w:rsidRPr="00983483">
        <w:lastRenderedPageBreak/>
        <w:t>In affective criminology, anger is recognised as a political emotion, one that reveals the tensions between governance, justice and care. In youth justice, anger exposes the contradictions of a system that expects practitioners to deliver transformative outcomes while operating within structures that reproduce inequality and harm. Youth justice is one spoke of the criminal justice wheel, a wheel in which disproportionality and inequality remain significant concerns (Lammy, 2017; Davis and Marsh, 2020).</w:t>
      </w:r>
    </w:p>
    <w:p w14:paraId="369BBBBD" w14:textId="77777777" w:rsidR="00F823F0" w:rsidRPr="00983483" w:rsidRDefault="00F823F0" w:rsidP="00F823F0">
      <w:pPr>
        <w:spacing w:line="276" w:lineRule="auto"/>
        <w:rPr>
          <w:b/>
          <w:bCs/>
        </w:rPr>
      </w:pPr>
      <w:r w:rsidRPr="00983483">
        <w:rPr>
          <w:b/>
          <w:bCs/>
        </w:rPr>
        <w:t>Hope: The Emotional Currency of Youth Justice</w:t>
      </w:r>
    </w:p>
    <w:p w14:paraId="0F7E20AC" w14:textId="77777777" w:rsidR="00F823F0" w:rsidRPr="00983483" w:rsidRDefault="00F823F0" w:rsidP="00F823F0">
      <w:pPr>
        <w:spacing w:line="276" w:lineRule="auto"/>
      </w:pPr>
      <w:r w:rsidRPr="00983483">
        <w:t>Despite the emotional strain, hope is a powerful and sustaining force in youth justice practice. A child attending school after months of absence, engaging in a restorative conversation, or expressing a desire to change can generate a sense of optimism that counterbalances the emotional weight of the work.</w:t>
      </w:r>
    </w:p>
    <w:p w14:paraId="74B8263F" w14:textId="77777777" w:rsidR="00F823F0" w:rsidRPr="00983483" w:rsidRDefault="00F823F0" w:rsidP="00F823F0">
      <w:pPr>
        <w:spacing w:line="276" w:lineRule="auto"/>
      </w:pPr>
      <w:r w:rsidRPr="00983483">
        <w:t>Hope is not naïve positivity; it is a form of relational investment. Practitioners hold hope on behalf of children who may not yet be able to imagine alternative futures. Practitioners must also hold hope given the nature of the work and its rehabilitative intentions. This “hope work” is emotionally demanding. It requires practitioners to remain open, attuned and committed even when progress is slow, inconsistent or overshadowed by setbacks. It requires them to believe in the possibility of change while navigating the realities of trauma, exploitation and structural disadvantage.</w:t>
      </w:r>
    </w:p>
    <w:p w14:paraId="57A02ED4" w14:textId="77777777" w:rsidR="00F823F0" w:rsidRPr="00983483" w:rsidRDefault="00F823F0" w:rsidP="00F823F0">
      <w:pPr>
        <w:spacing w:line="276" w:lineRule="auto"/>
      </w:pPr>
      <w:r w:rsidRPr="00983483">
        <w:t xml:space="preserve">Yet hope can also be fragile. When young people disengage, reoffend or experience harm, practitioners may feel a sense of emotional loss. The collapse of hope can be painful, particularly when practitioners have invested significant emotional energy in supporting a child. </w:t>
      </w:r>
    </w:p>
    <w:p w14:paraId="3731633E" w14:textId="77777777" w:rsidR="00F823F0" w:rsidRPr="00983483" w:rsidRDefault="00F823F0" w:rsidP="00F823F0">
      <w:pPr>
        <w:spacing w:line="276" w:lineRule="auto"/>
        <w:rPr>
          <w:b/>
          <w:bCs/>
        </w:rPr>
      </w:pPr>
      <w:r w:rsidRPr="00983483">
        <w:rPr>
          <w:b/>
          <w:bCs/>
        </w:rPr>
        <w:t>Empathy: The Emotional Cost of Caring</w:t>
      </w:r>
    </w:p>
    <w:p w14:paraId="7CB90E66" w14:textId="77777777" w:rsidR="00F823F0" w:rsidRPr="00983483" w:rsidRDefault="00F823F0" w:rsidP="00F823F0">
      <w:pPr>
        <w:spacing w:line="276" w:lineRule="auto"/>
      </w:pPr>
      <w:r w:rsidRPr="00983483">
        <w:t>Empathy is central to effective youth justice practice. Building trust with gang</w:t>
      </w:r>
      <w:r w:rsidRPr="00983483">
        <w:noBreakHyphen/>
        <w:t>affected children requires practitioners to understand their experiences, validate their emotions, and create relational safety. This empathic engagement is essential for meaningful intervention and a core facet of trauma-informed practice, yet it carries emotional costs. The emotional strain associated with sustained empathy can lead to emotional exhaustion, particularly when practitioners are exposed to repeated accounts of trauma, violence and loss (Facer-Irwin, 2022). The emotional labour of “holding” a child’s story or stories while maintaining professional boundaries and managing one’s own reactions is considerable. Practitioners may find themselves thinking about children outside of work, worrying about their safety, or replaying difficult conversations. Over time, this emotional spillover can contribute to burnout.</w:t>
      </w:r>
    </w:p>
    <w:p w14:paraId="626A46D4" w14:textId="77777777" w:rsidR="00F823F0" w:rsidRPr="00983483" w:rsidRDefault="00F823F0" w:rsidP="00F823F0">
      <w:pPr>
        <w:spacing w:line="276" w:lineRule="auto"/>
      </w:pPr>
      <w:r w:rsidRPr="00983483">
        <w:t xml:space="preserve">Empathy also intersects with moral emotions. Practitioners may feel guilt when they cannot provide the support a child needs, or shame when organisational constraints prevent them from acting in accordance with their values. </w:t>
      </w:r>
    </w:p>
    <w:p w14:paraId="222C22E3" w14:textId="77777777" w:rsidR="00F823F0" w:rsidRPr="00983483" w:rsidRDefault="00F823F0" w:rsidP="00F823F0">
      <w:pPr>
        <w:spacing w:line="276" w:lineRule="auto"/>
        <w:rPr>
          <w:b/>
          <w:bCs/>
        </w:rPr>
      </w:pPr>
      <w:r w:rsidRPr="00983483">
        <w:rPr>
          <w:b/>
          <w:bCs/>
        </w:rPr>
        <w:t>Vicarious Trauma: Absorbing the Emotional Weight of Violence</w:t>
      </w:r>
    </w:p>
    <w:p w14:paraId="12431936" w14:textId="77777777" w:rsidR="00F823F0" w:rsidRPr="00983483" w:rsidRDefault="00F823F0" w:rsidP="00F823F0">
      <w:pPr>
        <w:spacing w:line="276" w:lineRule="auto"/>
      </w:pPr>
      <w:r w:rsidRPr="00983483">
        <w:t xml:space="preserve">Vicarious trauma i.e. the emotional impact of exposure to others’ trauma, is well documented in </w:t>
      </w:r>
      <w:proofErr w:type="gramStart"/>
      <w:r w:rsidRPr="00983483">
        <w:t>a number of</w:t>
      </w:r>
      <w:proofErr w:type="gramEnd"/>
      <w:r w:rsidRPr="00983483">
        <w:t xml:space="preserve"> “helping professions” (Anne Dombo and Whiting Blome, 2016; Kadambi and </w:t>
      </w:r>
      <w:r w:rsidRPr="00983483">
        <w:lastRenderedPageBreak/>
        <w:t xml:space="preserve">Truscott, 2003). Yet it is seldom acknowledged in youth justice, despite practitioners’ frequent exposure to traumatic narratives. Children may describe experiences of assault, exploitation, bereavement, domestic abuse or community violence. Practitioners must listen, respond and support, at times without appropriate reflective spaces. One could argue that a monthly opportunity for reflective practice or clinical supervision may not be sufficient to safely contain some of the traumatic experiences that practitioners may be exposed to. Practitioners who work with gang-affected children may also face the trauma associated with serious harm being caused to a child. </w:t>
      </w:r>
      <w:proofErr w:type="gramStart"/>
      <w:r w:rsidRPr="00983483">
        <w:t>Additionally</w:t>
      </w:r>
      <w:proofErr w:type="gramEnd"/>
      <w:r w:rsidRPr="00983483">
        <w:t xml:space="preserve"> there may also be incidences of repeated exposure to different children being harmed or killed, which can lead the emotional impact of these events to compound upon pre-existing trauma.</w:t>
      </w:r>
    </w:p>
    <w:p w14:paraId="332AEFAE" w14:textId="77777777" w:rsidR="00F823F0" w:rsidRPr="00983483" w:rsidRDefault="00F823F0" w:rsidP="00F823F0">
      <w:pPr>
        <w:spacing w:line="276" w:lineRule="auto"/>
      </w:pPr>
      <w:r w:rsidRPr="00983483">
        <w:t>Vicarious trauma can manifest as changes in one’s cognitive schemas (McCann and Pearlman, 1990). It can erode practitioners’ capacity for empathy, contribute to cynicism, and increase hypervigilance. Without organisational recognition or support, practitioners may internalise these symptoms as personal weakness rather than occupational hazard.</w:t>
      </w:r>
    </w:p>
    <w:p w14:paraId="1139AF7E" w14:textId="77777777" w:rsidR="00F823F0" w:rsidRPr="00983483" w:rsidRDefault="00F823F0" w:rsidP="00F823F0">
      <w:pPr>
        <w:spacing w:line="276" w:lineRule="auto"/>
      </w:pPr>
      <w:r w:rsidRPr="00983483">
        <w:t>The emotional ecology of youth justice as outlined here – the interaction between fear, anger, hope, empathy and trauma – creates conditions where burnout can flourish. Yet the field remains largely absent from burnout research, leaving practitioners without the conceptual frameworks or organisational support needed to understand and mitigate these emotional pressures.</w:t>
      </w:r>
    </w:p>
    <w:p w14:paraId="6D0E40F9" w14:textId="77777777" w:rsidR="00F823F0" w:rsidRPr="00983483" w:rsidRDefault="00F823F0" w:rsidP="00F823F0">
      <w:pPr>
        <w:spacing w:line="276" w:lineRule="auto"/>
        <w:rPr>
          <w:b/>
          <w:bCs/>
        </w:rPr>
      </w:pPr>
      <w:r w:rsidRPr="00983483">
        <w:rPr>
          <w:b/>
          <w:bCs/>
        </w:rPr>
        <w:t>Towards an Affective Understanding of Youth Justice Practice</w:t>
      </w:r>
    </w:p>
    <w:p w14:paraId="56DF863E" w14:textId="77777777" w:rsidR="00F823F0" w:rsidRPr="00983483" w:rsidRDefault="00F823F0" w:rsidP="00F823F0">
      <w:pPr>
        <w:spacing w:line="276" w:lineRule="auto"/>
      </w:pPr>
      <w:r w:rsidRPr="00983483">
        <w:t>Affective criminology offers a valuable lens for understanding the emotional dimensions of youth justice practice. By emphasising emotions, it allows us to see youth justice not merely as a technical or procedural field, but as an affective one. This shift has several implications. First, it highlights the need for organisational cultures that recognise and support emotional labour. Reflective supervision, peer support, manageable caseloads and psychologically informed environments are essential for mitigating burnout and vicarious trauma (Anderson et al., 2010; Peled-Avram, 2017). Second, it underscores the importance of research that centres practitioners’ emotional experiences. Understanding the emotional ecology of youth justice is crucial for developing interventions that support practitioner wellbeing and enhance the quality of practice. Finally, it invites a broader conversation about the emotional politics of youth justice – how emotions shape decision</w:t>
      </w:r>
      <w:r w:rsidRPr="00983483">
        <w:noBreakHyphen/>
        <w:t>making, relationships, organisational cultures and policy frameworks.</w:t>
      </w:r>
    </w:p>
    <w:p w14:paraId="582DE70B" w14:textId="77777777" w:rsidR="00F823F0" w:rsidRPr="00983483" w:rsidRDefault="00F823F0" w:rsidP="00F823F0">
      <w:pPr>
        <w:spacing w:line="276" w:lineRule="auto"/>
        <w:rPr>
          <w:b/>
          <w:bCs/>
        </w:rPr>
      </w:pPr>
      <w:r w:rsidRPr="00983483">
        <w:rPr>
          <w:b/>
          <w:bCs/>
        </w:rPr>
        <w:t>Conclusion</w:t>
      </w:r>
    </w:p>
    <w:p w14:paraId="740567C3" w14:textId="77777777" w:rsidR="00F823F0" w:rsidRDefault="00F823F0" w:rsidP="00F823F0">
      <w:pPr>
        <w:spacing w:line="276" w:lineRule="auto"/>
      </w:pPr>
      <w:r w:rsidRPr="00983483">
        <w:t>Youth justice practitioners working with gang</w:t>
      </w:r>
      <w:r w:rsidRPr="00983483">
        <w:noBreakHyphen/>
        <w:t>affected children navigate an emotional terrain that is complex, demanding and largely unacknowledged. Fear, anger, hope, empathy and vicarious trauma are woven into the fabric of their daily work, shaping their wellbeing, their relationships with young people, and their sense of professional identity. Yet the emotional ecology of youth justice remains under</w:t>
      </w:r>
      <w:r w:rsidRPr="00983483">
        <w:noBreakHyphen/>
        <w:t>theorised within criminology and under</w:t>
      </w:r>
      <w:r w:rsidRPr="00983483">
        <w:noBreakHyphen/>
        <w:t xml:space="preserve">supported within practice. Youth justice is an affective field, and its practitioners deserve recognition, support and further scholarly attention. By highlighting the emotional dimensions of the work, we can not only build on existing research, but also build a more compassionate, reflective and sustainable youth justice system, one that honours the emotional labour of those who </w:t>
      </w:r>
      <w:r w:rsidRPr="00983483">
        <w:lastRenderedPageBreak/>
        <w:t xml:space="preserve">hold hope in the face of harm. After all, a better supported workforce is in turn better able to support children who </w:t>
      </w:r>
      <w:proofErr w:type="gramStart"/>
      <w:r w:rsidRPr="00983483">
        <w:t>come into contact with</w:t>
      </w:r>
      <w:proofErr w:type="gramEnd"/>
      <w:r w:rsidRPr="00983483">
        <w:t xml:space="preserve"> the criminal justice system.</w:t>
      </w:r>
    </w:p>
    <w:p w14:paraId="0E6A8AB8" w14:textId="77777777" w:rsidR="00F823F0" w:rsidRDefault="00F823F0" w:rsidP="00F823F0">
      <w:pPr>
        <w:spacing w:line="276" w:lineRule="auto"/>
      </w:pPr>
    </w:p>
    <w:p w14:paraId="28587775" w14:textId="77777777" w:rsidR="00F823F0" w:rsidRPr="00B021AA" w:rsidRDefault="00F823F0" w:rsidP="00F823F0">
      <w:pPr>
        <w:spacing w:after="240" w:afterAutospacing="0" w:line="276" w:lineRule="auto"/>
        <w:rPr>
          <w:rFonts w:cs="Arial"/>
          <w:b/>
          <w:sz w:val="18"/>
          <w:szCs w:val="18"/>
        </w:rPr>
      </w:pPr>
      <w:r w:rsidRPr="0088399A">
        <w:rPr>
          <w:rFonts w:cs="Arial"/>
          <w:b/>
          <w:sz w:val="18"/>
          <w:szCs w:val="18"/>
        </w:rPr>
        <w:t>References</w:t>
      </w:r>
    </w:p>
    <w:p w14:paraId="64EB8956" w14:textId="77777777" w:rsidR="00F823F0" w:rsidRPr="00983483" w:rsidRDefault="00F823F0" w:rsidP="00F823F0">
      <w:pPr>
        <w:spacing w:after="0" w:afterAutospacing="0" w:line="276" w:lineRule="auto"/>
        <w:ind w:left="720" w:hanging="720"/>
        <w:jc w:val="left"/>
        <w:rPr>
          <w:rFonts w:cs="Arial"/>
          <w:bCs/>
          <w:sz w:val="18"/>
          <w:szCs w:val="18"/>
        </w:rPr>
      </w:pPr>
      <w:r w:rsidRPr="00983483">
        <w:rPr>
          <w:rFonts w:cs="Arial"/>
          <w:bCs/>
          <w:sz w:val="18"/>
          <w:szCs w:val="18"/>
        </w:rPr>
        <w:t xml:space="preserve">Anderson, G.S. </w:t>
      </w:r>
      <w:r w:rsidRPr="00983483">
        <w:rPr>
          <w:rFonts w:cs="Arial"/>
          <w:bCs/>
          <w:i/>
          <w:iCs/>
          <w:sz w:val="18"/>
          <w:szCs w:val="18"/>
        </w:rPr>
        <w:t>et al.</w:t>
      </w:r>
      <w:r w:rsidRPr="00983483">
        <w:rPr>
          <w:rFonts w:cs="Arial"/>
          <w:bCs/>
          <w:sz w:val="18"/>
          <w:szCs w:val="18"/>
        </w:rPr>
        <w:t xml:space="preserve"> (2020) ‘Peer Support and Crisis-Focused Psychological Interventions Designed to Mitigate Post-Traumatic Stress Injuries among Public Safety and Frontline Healthcare Personnel: A Systematic Review’, </w:t>
      </w:r>
      <w:r w:rsidRPr="00983483">
        <w:rPr>
          <w:rFonts w:cs="Arial"/>
          <w:bCs/>
          <w:i/>
          <w:iCs/>
          <w:sz w:val="18"/>
          <w:szCs w:val="18"/>
        </w:rPr>
        <w:t>International Journal of Environmental Research and Public Health</w:t>
      </w:r>
      <w:r w:rsidRPr="00983483">
        <w:rPr>
          <w:rFonts w:cs="Arial"/>
          <w:bCs/>
          <w:sz w:val="18"/>
          <w:szCs w:val="18"/>
        </w:rPr>
        <w:t>, 17(20), p. 7645. Available at: https://doi.org/10.3390/ijerph17207645.</w:t>
      </w:r>
    </w:p>
    <w:p w14:paraId="3B008D2C" w14:textId="77777777" w:rsidR="00F823F0" w:rsidRPr="00983483" w:rsidRDefault="00F823F0" w:rsidP="00F823F0">
      <w:pPr>
        <w:spacing w:after="0" w:afterAutospacing="0" w:line="276" w:lineRule="auto"/>
        <w:ind w:left="720" w:hanging="720"/>
        <w:jc w:val="left"/>
        <w:rPr>
          <w:rFonts w:cs="Arial"/>
          <w:bCs/>
          <w:sz w:val="18"/>
          <w:szCs w:val="18"/>
        </w:rPr>
      </w:pPr>
      <w:r w:rsidRPr="00983483">
        <w:rPr>
          <w:rFonts w:cs="Arial"/>
          <w:bCs/>
          <w:sz w:val="18"/>
          <w:szCs w:val="18"/>
        </w:rPr>
        <w:t xml:space="preserve">Anne Dombo, E. and Whiting Blome, W. (2016) ‘Vicarious Trauma in Child Welfare Workers: A Study of Organizational Responses’, </w:t>
      </w:r>
      <w:r w:rsidRPr="00983483">
        <w:rPr>
          <w:rFonts w:cs="Arial"/>
          <w:bCs/>
          <w:i/>
          <w:iCs/>
          <w:sz w:val="18"/>
          <w:szCs w:val="18"/>
        </w:rPr>
        <w:t>Journal of Public Child Welfare</w:t>
      </w:r>
      <w:r w:rsidRPr="00983483">
        <w:rPr>
          <w:rFonts w:cs="Arial"/>
          <w:bCs/>
          <w:sz w:val="18"/>
          <w:szCs w:val="18"/>
        </w:rPr>
        <w:t>, 10(5), pp. 505–523. Available at: https://doi.org/10.1080/15548732.2016.1206506.</w:t>
      </w:r>
    </w:p>
    <w:p w14:paraId="1F349E2A" w14:textId="77777777" w:rsidR="00F823F0" w:rsidRPr="00983483" w:rsidRDefault="00F823F0" w:rsidP="00F823F0">
      <w:pPr>
        <w:spacing w:after="0" w:afterAutospacing="0" w:line="276" w:lineRule="auto"/>
        <w:ind w:left="720" w:hanging="720"/>
        <w:jc w:val="left"/>
        <w:rPr>
          <w:rFonts w:cs="Arial"/>
          <w:bCs/>
          <w:sz w:val="18"/>
          <w:szCs w:val="18"/>
        </w:rPr>
      </w:pPr>
      <w:r w:rsidRPr="00983483">
        <w:rPr>
          <w:rFonts w:cs="Arial"/>
          <w:bCs/>
          <w:sz w:val="18"/>
          <w:szCs w:val="18"/>
        </w:rPr>
        <w:t xml:space="preserve">Baird, S. and Jenkins, S.R. (2003) ‘Vicarious Traumatization, Secondary Traumatic Stress, and Burnout in Sexual Assault and Domestic Violence Agency Staff’, </w:t>
      </w:r>
      <w:r w:rsidRPr="00983483">
        <w:rPr>
          <w:rFonts w:cs="Arial"/>
          <w:bCs/>
          <w:i/>
          <w:iCs/>
          <w:sz w:val="18"/>
          <w:szCs w:val="18"/>
        </w:rPr>
        <w:t>Violence and Victims</w:t>
      </w:r>
      <w:r w:rsidRPr="00983483">
        <w:rPr>
          <w:rFonts w:cs="Arial"/>
          <w:bCs/>
          <w:sz w:val="18"/>
          <w:szCs w:val="18"/>
        </w:rPr>
        <w:t>, 18(1), pp. 71–86. Available at: https://doi.org/10.1891/vivi.2003.18.1.71.</w:t>
      </w:r>
    </w:p>
    <w:p w14:paraId="40A4682E" w14:textId="77777777" w:rsidR="00F823F0" w:rsidRPr="00983483" w:rsidRDefault="00F823F0" w:rsidP="00F823F0">
      <w:pPr>
        <w:spacing w:after="0" w:afterAutospacing="0" w:line="276" w:lineRule="auto"/>
        <w:ind w:left="720" w:hanging="720"/>
        <w:jc w:val="left"/>
        <w:rPr>
          <w:rFonts w:cs="Arial"/>
          <w:bCs/>
          <w:sz w:val="18"/>
          <w:szCs w:val="18"/>
        </w:rPr>
      </w:pPr>
      <w:r w:rsidRPr="00983483">
        <w:rPr>
          <w:rFonts w:cs="Arial"/>
          <w:bCs/>
          <w:sz w:val="18"/>
          <w:szCs w:val="18"/>
        </w:rPr>
        <w:t xml:space="preserve">Case, S., Browning, A. and Hampson, K. (2024) ‘The Child First Strategy Implementation Project – Translating Strategy </w:t>
      </w:r>
      <w:proofErr w:type="gramStart"/>
      <w:r w:rsidRPr="00983483">
        <w:rPr>
          <w:rFonts w:cs="Arial"/>
          <w:bCs/>
          <w:sz w:val="18"/>
          <w:szCs w:val="18"/>
        </w:rPr>
        <w:t>Into</w:t>
      </w:r>
      <w:proofErr w:type="gramEnd"/>
      <w:r w:rsidRPr="00983483">
        <w:rPr>
          <w:rFonts w:cs="Arial"/>
          <w:bCs/>
          <w:sz w:val="18"/>
          <w:szCs w:val="18"/>
        </w:rPr>
        <w:t xml:space="preserve"> Practice’, </w:t>
      </w:r>
      <w:r w:rsidRPr="00983483">
        <w:rPr>
          <w:rFonts w:cs="Arial"/>
          <w:bCs/>
          <w:i/>
          <w:iCs/>
          <w:sz w:val="18"/>
          <w:szCs w:val="18"/>
        </w:rPr>
        <w:t>Youth Justice</w:t>
      </w:r>
      <w:r w:rsidRPr="00983483">
        <w:rPr>
          <w:rFonts w:cs="Arial"/>
          <w:bCs/>
          <w:sz w:val="18"/>
          <w:szCs w:val="18"/>
        </w:rPr>
        <w:t>, 24(2), pp. 204–230. Available at: https://doi.org/10.1177/14732254231191978.</w:t>
      </w:r>
    </w:p>
    <w:p w14:paraId="7E3D8C04" w14:textId="77777777" w:rsidR="00F823F0" w:rsidRPr="00983483" w:rsidRDefault="00F823F0" w:rsidP="00F823F0">
      <w:pPr>
        <w:spacing w:after="0" w:afterAutospacing="0" w:line="276" w:lineRule="auto"/>
        <w:ind w:left="720" w:hanging="720"/>
        <w:jc w:val="left"/>
        <w:rPr>
          <w:rFonts w:cs="Arial"/>
          <w:bCs/>
          <w:sz w:val="18"/>
          <w:szCs w:val="18"/>
        </w:rPr>
      </w:pPr>
      <w:r w:rsidRPr="00983483">
        <w:rPr>
          <w:rFonts w:cs="Arial"/>
          <w:bCs/>
          <w:sz w:val="18"/>
          <w:szCs w:val="18"/>
        </w:rPr>
        <w:t>‘Children involved in urban street gangs – HM Inspectorate of Probation’ (2024). Available at: https://hmiprobation.justiceinspectorates.gov.uk/our-research/evidence-base-youth-justice/specific-sub-groups/children-involved-in-urban-street-gangs/ (Accessed: 19 April 2026).</w:t>
      </w:r>
    </w:p>
    <w:p w14:paraId="1A317775" w14:textId="77777777" w:rsidR="00F823F0" w:rsidRPr="00983483" w:rsidRDefault="00F823F0" w:rsidP="00F823F0">
      <w:pPr>
        <w:spacing w:after="0" w:afterAutospacing="0" w:line="276" w:lineRule="auto"/>
        <w:ind w:left="720" w:hanging="720"/>
        <w:jc w:val="left"/>
        <w:rPr>
          <w:rFonts w:cs="Arial"/>
          <w:bCs/>
          <w:sz w:val="18"/>
          <w:szCs w:val="18"/>
        </w:rPr>
      </w:pPr>
      <w:r w:rsidRPr="00983483">
        <w:rPr>
          <w:rFonts w:cs="Arial"/>
          <w:bCs/>
          <w:sz w:val="18"/>
          <w:szCs w:val="18"/>
        </w:rPr>
        <w:t>Collins, S. (2008) ‘Statutory Social Workers: Stress, Job Satisfaction, Coping, Social Support and Individual Differences’, British Journal of Social Work, 38(6), pp. 1173–1193. Available at: https://doi.org/10.1093/bjsw/bcm047.</w:t>
      </w:r>
    </w:p>
    <w:p w14:paraId="76C07CAC" w14:textId="77777777" w:rsidR="00F823F0" w:rsidRPr="00983483" w:rsidRDefault="00F823F0" w:rsidP="00F823F0">
      <w:pPr>
        <w:spacing w:after="0" w:afterAutospacing="0" w:line="276" w:lineRule="auto"/>
        <w:ind w:left="720" w:hanging="720"/>
        <w:jc w:val="left"/>
        <w:rPr>
          <w:rFonts w:cs="Arial"/>
          <w:bCs/>
          <w:sz w:val="18"/>
          <w:szCs w:val="18"/>
        </w:rPr>
      </w:pPr>
      <w:r w:rsidRPr="00983483">
        <w:rPr>
          <w:rFonts w:cs="Arial"/>
          <w:bCs/>
          <w:sz w:val="18"/>
          <w:szCs w:val="18"/>
        </w:rPr>
        <w:t xml:space="preserve">Davis, J. and Marsh, N. (2020) ‘Boys to men: the cost of “adultification” in safeguarding responses to Black boys’, </w:t>
      </w:r>
      <w:r w:rsidRPr="00983483">
        <w:rPr>
          <w:rFonts w:cs="Arial"/>
          <w:bCs/>
          <w:i/>
          <w:iCs/>
          <w:sz w:val="18"/>
          <w:szCs w:val="18"/>
        </w:rPr>
        <w:t>Critical and Radical Social Work</w:t>
      </w:r>
      <w:r w:rsidRPr="00983483">
        <w:rPr>
          <w:rFonts w:cs="Arial"/>
          <w:bCs/>
          <w:sz w:val="18"/>
          <w:szCs w:val="18"/>
        </w:rPr>
        <w:t>, 8(2), pp. 255–259. Available at: https://doi.org/10.1332/204986020X15945756023543.</w:t>
      </w:r>
    </w:p>
    <w:p w14:paraId="517BC307" w14:textId="77777777" w:rsidR="00F823F0" w:rsidRPr="00983483" w:rsidRDefault="00F823F0" w:rsidP="00F823F0">
      <w:pPr>
        <w:spacing w:after="0" w:afterAutospacing="0" w:line="276" w:lineRule="auto"/>
        <w:ind w:left="720" w:hanging="720"/>
        <w:jc w:val="left"/>
        <w:rPr>
          <w:rFonts w:cs="Arial"/>
          <w:bCs/>
          <w:sz w:val="18"/>
          <w:szCs w:val="18"/>
        </w:rPr>
      </w:pPr>
      <w:r w:rsidRPr="00983483">
        <w:rPr>
          <w:rFonts w:cs="Arial"/>
          <w:bCs/>
          <w:sz w:val="18"/>
          <w:szCs w:val="18"/>
        </w:rPr>
        <w:t>Facer-Irwin, E. (2022) ‘Trauma-Informed Care in a Youth Justice Setting: A Qualitative Study of Staff and Service-User Experiences’. Available at: https://repository.essex.ac.uk/34172/ (Accessed: 19 April 2026).</w:t>
      </w:r>
    </w:p>
    <w:p w14:paraId="13F5B6CB" w14:textId="77777777" w:rsidR="00F823F0" w:rsidRPr="00983483" w:rsidRDefault="00F823F0" w:rsidP="00F823F0">
      <w:pPr>
        <w:spacing w:after="0" w:afterAutospacing="0" w:line="276" w:lineRule="auto"/>
        <w:ind w:left="720" w:hanging="720"/>
        <w:jc w:val="left"/>
        <w:rPr>
          <w:rFonts w:cs="Arial"/>
          <w:bCs/>
          <w:sz w:val="18"/>
          <w:szCs w:val="18"/>
        </w:rPr>
      </w:pPr>
      <w:r w:rsidRPr="00983483">
        <w:rPr>
          <w:rFonts w:cs="Arial"/>
          <w:bCs/>
          <w:sz w:val="18"/>
          <w:szCs w:val="18"/>
        </w:rPr>
        <w:t xml:space="preserve">Farrington, D.P. (2000) ‘EXPLAINING AND PREVENTING CRIME: THE GLOBALIZATION OF KNOWLEDGE—THE AMERICAN SOCIETY OF CRIMINOLOGY 1999 PRESIDENTIAL ADDRESS*’, </w:t>
      </w:r>
      <w:r w:rsidRPr="00983483">
        <w:rPr>
          <w:rFonts w:cs="Arial"/>
          <w:bCs/>
          <w:i/>
          <w:iCs/>
          <w:sz w:val="18"/>
          <w:szCs w:val="18"/>
        </w:rPr>
        <w:t>Criminology</w:t>
      </w:r>
      <w:r w:rsidRPr="00983483">
        <w:rPr>
          <w:rFonts w:cs="Arial"/>
          <w:bCs/>
          <w:sz w:val="18"/>
          <w:szCs w:val="18"/>
        </w:rPr>
        <w:t>, 38(1), pp. 1–24. Available at: https://doi.org/10.1111/j.1745-9125.2000.tb00881.x.</w:t>
      </w:r>
    </w:p>
    <w:p w14:paraId="547235A7" w14:textId="77777777" w:rsidR="00F823F0" w:rsidRPr="00983483" w:rsidRDefault="00F823F0" w:rsidP="00F823F0">
      <w:pPr>
        <w:spacing w:after="0" w:afterAutospacing="0" w:line="276" w:lineRule="auto"/>
        <w:ind w:left="720" w:hanging="720"/>
        <w:jc w:val="left"/>
        <w:rPr>
          <w:rFonts w:cs="Arial"/>
          <w:bCs/>
          <w:sz w:val="18"/>
          <w:szCs w:val="18"/>
        </w:rPr>
      </w:pPr>
      <w:r w:rsidRPr="00983483">
        <w:rPr>
          <w:rFonts w:cs="Arial"/>
          <w:bCs/>
          <w:sz w:val="18"/>
          <w:szCs w:val="18"/>
        </w:rPr>
        <w:t>Griffin, B. (2023) ‘Child Safeguarding Thematic Review: Serious Youth Violence’. Croydon Safeguarding Children Partnership. Available at: https://www.croydonlcsb.org.uk/sites/default/files/10261667/2024-01/17_cscp_thematic_review_-_serious_youth_violence_full_document.pdf (Accessed: 11 January 2025).</w:t>
      </w:r>
    </w:p>
    <w:p w14:paraId="3C813271" w14:textId="77777777" w:rsidR="00F823F0" w:rsidRPr="00983483" w:rsidRDefault="00F823F0" w:rsidP="00F823F0">
      <w:pPr>
        <w:spacing w:after="0" w:afterAutospacing="0" w:line="276" w:lineRule="auto"/>
        <w:ind w:left="720" w:hanging="720"/>
        <w:jc w:val="left"/>
        <w:rPr>
          <w:rFonts w:cs="Arial"/>
          <w:bCs/>
          <w:sz w:val="18"/>
          <w:szCs w:val="18"/>
        </w:rPr>
      </w:pPr>
      <w:r w:rsidRPr="00983483">
        <w:rPr>
          <w:rFonts w:cs="Arial"/>
          <w:bCs/>
          <w:sz w:val="18"/>
          <w:szCs w:val="18"/>
        </w:rPr>
        <w:t xml:space="preserve">Haines, K. and Case, S. (2008) ‘The Rhetoric and Reality of the “Risk Factor Prevention Paradigm” Approach to Preventing and Reducing Youth Offending’, </w:t>
      </w:r>
      <w:r w:rsidRPr="00983483">
        <w:rPr>
          <w:rFonts w:cs="Arial"/>
          <w:bCs/>
          <w:i/>
          <w:iCs/>
          <w:sz w:val="18"/>
          <w:szCs w:val="18"/>
        </w:rPr>
        <w:t>Youth Justice</w:t>
      </w:r>
      <w:r w:rsidRPr="00983483">
        <w:rPr>
          <w:rFonts w:cs="Arial"/>
          <w:bCs/>
          <w:sz w:val="18"/>
          <w:szCs w:val="18"/>
        </w:rPr>
        <w:t>, 8(1), pp. 5–20. Available at: https://doi.org/10.1177/1473225407087039.</w:t>
      </w:r>
    </w:p>
    <w:p w14:paraId="4378ECAC" w14:textId="77777777" w:rsidR="00F823F0" w:rsidRPr="00983483" w:rsidRDefault="00F823F0" w:rsidP="00F823F0">
      <w:pPr>
        <w:spacing w:after="0" w:afterAutospacing="0" w:line="276" w:lineRule="auto"/>
        <w:ind w:left="720" w:hanging="720"/>
        <w:jc w:val="left"/>
        <w:rPr>
          <w:rFonts w:cs="Arial"/>
          <w:bCs/>
          <w:sz w:val="18"/>
          <w:szCs w:val="18"/>
        </w:rPr>
      </w:pPr>
      <w:r w:rsidRPr="00983483">
        <w:rPr>
          <w:rFonts w:cs="Arial"/>
          <w:bCs/>
          <w:sz w:val="18"/>
          <w:szCs w:val="18"/>
        </w:rPr>
        <w:t xml:space="preserve">Kadambi, M.A. and Truscott, D. (2003) ‘Vicarious traumatization and burnout among therapists working with sex offenders.’, </w:t>
      </w:r>
      <w:r w:rsidRPr="00983483">
        <w:rPr>
          <w:rFonts w:cs="Arial"/>
          <w:bCs/>
          <w:i/>
          <w:iCs/>
          <w:sz w:val="18"/>
          <w:szCs w:val="18"/>
        </w:rPr>
        <w:t>Traumatology</w:t>
      </w:r>
      <w:r w:rsidRPr="00983483">
        <w:rPr>
          <w:rFonts w:cs="Arial"/>
          <w:bCs/>
          <w:sz w:val="18"/>
          <w:szCs w:val="18"/>
        </w:rPr>
        <w:t>, 9(4), pp. 216–230. Available at: https://doi.org/10.1177/153476560300900404.</w:t>
      </w:r>
    </w:p>
    <w:p w14:paraId="111C513D" w14:textId="77777777" w:rsidR="00F823F0" w:rsidRPr="00983483" w:rsidRDefault="00F823F0" w:rsidP="00F823F0">
      <w:pPr>
        <w:spacing w:after="0" w:afterAutospacing="0" w:line="276" w:lineRule="auto"/>
        <w:ind w:left="720" w:hanging="720"/>
        <w:jc w:val="left"/>
        <w:rPr>
          <w:rFonts w:cs="Arial"/>
          <w:bCs/>
          <w:sz w:val="18"/>
          <w:szCs w:val="18"/>
        </w:rPr>
      </w:pPr>
      <w:r w:rsidRPr="00983483">
        <w:rPr>
          <w:rFonts w:cs="Arial"/>
          <w:bCs/>
          <w:sz w:val="18"/>
          <w:szCs w:val="18"/>
        </w:rPr>
        <w:t>Lammy, D. (2017) ‘The Lammy Review: An Independent Review into the Treatment   of, and Outcomes for, Black, Asian and Minority Ethnic Individuals in the Criminal Justice System’. Ministry of Justice. Available at: https://assets.publishing.service.gov.uk/media/5a82009040f0b62305b91f49/lammy-review-final-report.pdf.</w:t>
      </w:r>
    </w:p>
    <w:p w14:paraId="066540F8" w14:textId="77777777" w:rsidR="00F823F0" w:rsidRPr="00983483" w:rsidRDefault="00F823F0" w:rsidP="00F823F0">
      <w:pPr>
        <w:spacing w:after="0" w:afterAutospacing="0" w:line="276" w:lineRule="auto"/>
        <w:ind w:left="720" w:hanging="720"/>
        <w:jc w:val="left"/>
        <w:rPr>
          <w:rFonts w:cs="Arial"/>
          <w:bCs/>
          <w:sz w:val="18"/>
          <w:szCs w:val="18"/>
        </w:rPr>
      </w:pPr>
      <w:r w:rsidRPr="00983483">
        <w:rPr>
          <w:rFonts w:cs="Arial"/>
          <w:bCs/>
          <w:sz w:val="18"/>
          <w:szCs w:val="18"/>
        </w:rPr>
        <w:t xml:space="preserve">Maslach, C. (1993) ‘Burnout: A Multidimensional Perspective’, </w:t>
      </w:r>
      <w:r w:rsidRPr="00983483">
        <w:rPr>
          <w:rFonts w:cs="Arial"/>
          <w:bCs/>
          <w:i/>
          <w:iCs/>
          <w:sz w:val="18"/>
          <w:szCs w:val="18"/>
        </w:rPr>
        <w:t>Professional Burnout: Recent developments in theory and research</w:t>
      </w:r>
      <w:r w:rsidRPr="00983483">
        <w:rPr>
          <w:rFonts w:cs="Arial"/>
          <w:bCs/>
          <w:sz w:val="18"/>
          <w:szCs w:val="18"/>
        </w:rPr>
        <w:t>. Taylor and Francis, pp. 1–13.</w:t>
      </w:r>
    </w:p>
    <w:p w14:paraId="757A1939" w14:textId="77777777" w:rsidR="00F823F0" w:rsidRPr="00983483" w:rsidRDefault="00F823F0" w:rsidP="00F823F0">
      <w:pPr>
        <w:spacing w:after="0" w:afterAutospacing="0" w:line="276" w:lineRule="auto"/>
        <w:ind w:left="720" w:hanging="720"/>
        <w:jc w:val="left"/>
        <w:rPr>
          <w:rFonts w:cs="Arial"/>
          <w:bCs/>
          <w:sz w:val="18"/>
          <w:szCs w:val="18"/>
        </w:rPr>
      </w:pPr>
      <w:r w:rsidRPr="00983483">
        <w:rPr>
          <w:rFonts w:cs="Arial"/>
          <w:bCs/>
          <w:sz w:val="18"/>
          <w:szCs w:val="18"/>
        </w:rPr>
        <w:t xml:space="preserve">McCann, I.L. and Pearlman, L.A. (1990) ‘Vicarious traumatization: A framework for understanding the psychological effects of working with victims’, </w:t>
      </w:r>
      <w:r w:rsidRPr="00983483">
        <w:rPr>
          <w:rFonts w:cs="Arial"/>
          <w:bCs/>
          <w:i/>
          <w:iCs/>
          <w:sz w:val="18"/>
          <w:szCs w:val="18"/>
        </w:rPr>
        <w:t>Journal of Traumatic Stress</w:t>
      </w:r>
      <w:r w:rsidRPr="00983483">
        <w:rPr>
          <w:rFonts w:cs="Arial"/>
          <w:bCs/>
          <w:sz w:val="18"/>
          <w:szCs w:val="18"/>
        </w:rPr>
        <w:t>, 3(1), pp. 131–149. Available at: https://doi.org/10.1007/BF00975140.</w:t>
      </w:r>
    </w:p>
    <w:p w14:paraId="68268336" w14:textId="77777777" w:rsidR="00F823F0" w:rsidRPr="00983483" w:rsidRDefault="00F823F0" w:rsidP="00F823F0">
      <w:pPr>
        <w:spacing w:after="0" w:afterAutospacing="0" w:line="276" w:lineRule="auto"/>
        <w:ind w:left="720" w:hanging="720"/>
        <w:jc w:val="left"/>
        <w:rPr>
          <w:rFonts w:cs="Arial"/>
          <w:bCs/>
          <w:sz w:val="18"/>
          <w:szCs w:val="18"/>
        </w:rPr>
      </w:pPr>
      <w:r w:rsidRPr="00983483">
        <w:rPr>
          <w:rFonts w:cs="Arial"/>
          <w:bCs/>
          <w:sz w:val="18"/>
          <w:szCs w:val="18"/>
        </w:rPr>
        <w:t xml:space="preserve">McCarty, W.P. </w:t>
      </w:r>
      <w:r w:rsidRPr="00983483">
        <w:rPr>
          <w:rFonts w:cs="Arial"/>
          <w:bCs/>
          <w:i/>
          <w:iCs/>
          <w:sz w:val="18"/>
          <w:szCs w:val="18"/>
        </w:rPr>
        <w:t>et al.</w:t>
      </w:r>
      <w:r w:rsidRPr="00983483">
        <w:rPr>
          <w:rFonts w:cs="Arial"/>
          <w:bCs/>
          <w:sz w:val="18"/>
          <w:szCs w:val="18"/>
        </w:rPr>
        <w:t xml:space="preserve"> (2019) ‘Burnout in Blue: An Analysis of the Extent and Primary Predictors of Burnout Among Law Enforcement Officers in the United States’, </w:t>
      </w:r>
      <w:r w:rsidRPr="00983483">
        <w:rPr>
          <w:rFonts w:cs="Arial"/>
          <w:bCs/>
          <w:i/>
          <w:iCs/>
          <w:sz w:val="18"/>
          <w:szCs w:val="18"/>
        </w:rPr>
        <w:t>Police Quarterly</w:t>
      </w:r>
      <w:r w:rsidRPr="00983483">
        <w:rPr>
          <w:rFonts w:cs="Arial"/>
          <w:bCs/>
          <w:sz w:val="18"/>
          <w:szCs w:val="18"/>
        </w:rPr>
        <w:t>, 22(3), pp. 278–304. Available at: https://doi.org/10.1177/1098611119828038.</w:t>
      </w:r>
    </w:p>
    <w:p w14:paraId="288490DA" w14:textId="77777777" w:rsidR="00F823F0" w:rsidRPr="00983483" w:rsidRDefault="00F823F0" w:rsidP="00F823F0">
      <w:pPr>
        <w:spacing w:after="0" w:afterAutospacing="0" w:line="276" w:lineRule="auto"/>
        <w:ind w:left="720" w:hanging="720"/>
        <w:jc w:val="left"/>
        <w:rPr>
          <w:rFonts w:cs="Arial"/>
          <w:bCs/>
          <w:sz w:val="18"/>
          <w:szCs w:val="18"/>
        </w:rPr>
      </w:pPr>
      <w:r w:rsidRPr="00983483">
        <w:rPr>
          <w:rFonts w:cs="Arial"/>
          <w:bCs/>
          <w:sz w:val="18"/>
          <w:szCs w:val="18"/>
        </w:rPr>
        <w:lastRenderedPageBreak/>
        <w:t xml:space="preserve">Peled-Avram, M. (2017) ‘The Role of Relational-Oriented Supervision and Personal and Work-Related Factors in the Development of Vicarious Traumatization’, </w:t>
      </w:r>
      <w:r w:rsidRPr="00983483">
        <w:rPr>
          <w:rFonts w:cs="Arial"/>
          <w:bCs/>
          <w:i/>
          <w:iCs/>
          <w:sz w:val="18"/>
          <w:szCs w:val="18"/>
        </w:rPr>
        <w:t>Clinical Social Work Journal</w:t>
      </w:r>
      <w:r w:rsidRPr="00983483">
        <w:rPr>
          <w:rFonts w:cs="Arial"/>
          <w:bCs/>
          <w:sz w:val="18"/>
          <w:szCs w:val="18"/>
        </w:rPr>
        <w:t xml:space="preserve">, 45(1), pp. 22–32. Available at: </w:t>
      </w:r>
      <w:hyperlink r:id="rId6" w:history="1">
        <w:r w:rsidRPr="00983483">
          <w:rPr>
            <w:rStyle w:val="Hyperlink"/>
            <w:rFonts w:cs="Arial"/>
            <w:bCs/>
            <w:sz w:val="18"/>
            <w:szCs w:val="18"/>
          </w:rPr>
          <w:t>https://doi.org/10.1007/s10615-015-0573-y</w:t>
        </w:r>
      </w:hyperlink>
      <w:r w:rsidRPr="00983483">
        <w:rPr>
          <w:rFonts w:cs="Arial"/>
          <w:bCs/>
          <w:sz w:val="18"/>
          <w:szCs w:val="18"/>
        </w:rPr>
        <w:t>.</w:t>
      </w:r>
    </w:p>
    <w:p w14:paraId="00B5B3B2" w14:textId="77777777" w:rsidR="00F823F0" w:rsidRPr="00983483" w:rsidRDefault="00F823F0" w:rsidP="00F823F0">
      <w:pPr>
        <w:spacing w:after="0" w:afterAutospacing="0" w:line="276" w:lineRule="auto"/>
        <w:ind w:left="720" w:hanging="720"/>
        <w:jc w:val="left"/>
        <w:rPr>
          <w:rFonts w:cs="Arial"/>
          <w:bCs/>
          <w:sz w:val="18"/>
          <w:szCs w:val="18"/>
        </w:rPr>
      </w:pPr>
      <w:r w:rsidRPr="00983483">
        <w:rPr>
          <w:rFonts w:cs="Arial"/>
          <w:bCs/>
          <w:sz w:val="18"/>
          <w:szCs w:val="18"/>
        </w:rPr>
        <w:t xml:space="preserve">Salyers, M.P. et al. (2015) ‘The Experience, Impact, and Management </w:t>
      </w:r>
      <w:proofErr w:type="gramStart"/>
      <w:r w:rsidRPr="00983483">
        <w:rPr>
          <w:rFonts w:cs="Arial"/>
          <w:bCs/>
          <w:sz w:val="18"/>
          <w:szCs w:val="18"/>
        </w:rPr>
        <w:t>of  Professional</w:t>
      </w:r>
      <w:proofErr w:type="gramEnd"/>
      <w:r w:rsidRPr="00983483">
        <w:rPr>
          <w:rFonts w:cs="Arial"/>
          <w:bCs/>
          <w:sz w:val="18"/>
          <w:szCs w:val="18"/>
        </w:rPr>
        <w:t xml:space="preserve"> Burnout Among Probation Officers in Juvenile Justice Settings’, Journal of Offender Rehabilitation, 54, pp. 75–193.</w:t>
      </w:r>
    </w:p>
    <w:p w14:paraId="55BB657E" w14:textId="77777777" w:rsidR="00F823F0" w:rsidRPr="00983483" w:rsidRDefault="00F823F0" w:rsidP="00F823F0">
      <w:pPr>
        <w:spacing w:after="0" w:afterAutospacing="0" w:line="276" w:lineRule="auto"/>
        <w:ind w:left="720" w:hanging="720"/>
        <w:jc w:val="left"/>
        <w:rPr>
          <w:rFonts w:cs="Arial"/>
          <w:bCs/>
          <w:sz w:val="18"/>
          <w:szCs w:val="18"/>
        </w:rPr>
      </w:pPr>
      <w:r w:rsidRPr="00983483">
        <w:rPr>
          <w:rFonts w:cs="Arial"/>
          <w:bCs/>
          <w:sz w:val="18"/>
          <w:szCs w:val="18"/>
        </w:rPr>
        <w:t>Tidmarsh, M. (2020) ‘“The right kind of person for the job”? Emotional labour and organizational professionalism in probation’, International Journal of Law, Crime and Justice, 61, p. 100363. Available at: https://doi.org/10.1016/j.ijlcj.2019.100363.</w:t>
      </w:r>
    </w:p>
    <w:p w14:paraId="11316499" w14:textId="77777777" w:rsidR="00F823F0" w:rsidRPr="00983483" w:rsidRDefault="00F823F0" w:rsidP="00F823F0">
      <w:pPr>
        <w:spacing w:after="0" w:afterAutospacing="0" w:line="276" w:lineRule="auto"/>
        <w:ind w:left="720" w:hanging="720"/>
        <w:jc w:val="left"/>
        <w:rPr>
          <w:rFonts w:cs="Arial"/>
          <w:bCs/>
          <w:sz w:val="18"/>
          <w:szCs w:val="18"/>
        </w:rPr>
      </w:pPr>
      <w:r w:rsidRPr="00983483">
        <w:rPr>
          <w:rFonts w:cs="Arial"/>
          <w:bCs/>
          <w:sz w:val="18"/>
          <w:szCs w:val="18"/>
        </w:rPr>
        <w:t xml:space="preserve">Zempi, I. (2025) ‘Occupational burnout amongst youth justice officers in England’, Journal of Workplace </w:t>
      </w:r>
      <w:proofErr w:type="spellStart"/>
      <w:r w:rsidRPr="00983483">
        <w:rPr>
          <w:rFonts w:cs="Arial"/>
          <w:bCs/>
          <w:sz w:val="18"/>
          <w:szCs w:val="18"/>
        </w:rPr>
        <w:t>Behavioral</w:t>
      </w:r>
      <w:proofErr w:type="spellEnd"/>
      <w:r w:rsidRPr="00983483">
        <w:rPr>
          <w:rFonts w:cs="Arial"/>
          <w:bCs/>
          <w:sz w:val="18"/>
          <w:szCs w:val="18"/>
        </w:rPr>
        <w:t xml:space="preserve"> Health, 40(4), pp. 1004–1030. Available at: https://doi.org/10.1080/15555240.2025.2493193.</w:t>
      </w:r>
    </w:p>
    <w:p w14:paraId="2EED0E03" w14:textId="77777777" w:rsidR="00F823F0" w:rsidRPr="00CF4DDE" w:rsidRDefault="00F823F0" w:rsidP="00F823F0">
      <w:pPr>
        <w:spacing w:after="0" w:afterAutospacing="0" w:line="276" w:lineRule="auto"/>
        <w:jc w:val="left"/>
        <w:rPr>
          <w:rFonts w:cs="Arial"/>
          <w:bCs/>
          <w:sz w:val="18"/>
          <w:szCs w:val="18"/>
        </w:rPr>
      </w:pPr>
    </w:p>
    <w:p w14:paraId="573F470E" w14:textId="77777777" w:rsidR="00F823F0" w:rsidRDefault="00F823F0" w:rsidP="00F823F0">
      <w:pPr>
        <w:pStyle w:val="Body"/>
        <w:spacing w:line="360" w:lineRule="auto"/>
        <w:rPr>
          <w:rFonts w:ascii="Arial" w:hAnsi="Arial" w:cs="Arial"/>
          <w:b/>
          <w:color w:val="1F3864"/>
          <w:sz w:val="36"/>
          <w:szCs w:val="36"/>
        </w:rPr>
      </w:pPr>
      <w:r>
        <w:rPr>
          <w:rFonts w:ascii="Arial" w:hAnsi="Arial" w:cs="Arial"/>
          <w:b/>
          <w:noProof/>
          <w:color w:val="1F3864"/>
          <w:sz w:val="36"/>
          <w:szCs w:val="36"/>
        </w:rPr>
        <w:drawing>
          <wp:inline distT="0" distB="0" distL="0" distR="0" wp14:anchorId="0229DF6E" wp14:editId="1B6D2F84">
            <wp:extent cx="5731510" cy="55245"/>
            <wp:effectExtent l="0" t="0" r="2540" b="1905"/>
            <wp:docPr id="431197209" name="Picture 4311972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55245"/>
                    </a:xfrm>
                    <a:prstGeom prst="rect">
                      <a:avLst/>
                    </a:prstGeom>
                    <a:noFill/>
                  </pic:spPr>
                </pic:pic>
              </a:graphicData>
            </a:graphic>
          </wp:inline>
        </w:drawing>
      </w:r>
    </w:p>
    <w:p w14:paraId="3195C63E" w14:textId="77777777" w:rsidR="00F823F0" w:rsidRDefault="00F823F0" w:rsidP="00F823F0">
      <w:pPr>
        <w:spacing w:after="160" w:afterAutospacing="0" w:line="259" w:lineRule="auto"/>
        <w:jc w:val="left"/>
        <w:rPr>
          <w:rFonts w:cs="Arial"/>
          <w:b/>
          <w:color w:val="000000"/>
        </w:rPr>
      </w:pPr>
    </w:p>
    <w:p w14:paraId="570D0E60" w14:textId="01A3CC15" w:rsidR="005B5D68" w:rsidRPr="00F823F0" w:rsidRDefault="005B5D68" w:rsidP="00F823F0">
      <w:pPr>
        <w:spacing w:after="160" w:afterAutospacing="0" w:line="259" w:lineRule="auto"/>
        <w:jc w:val="left"/>
        <w:rPr>
          <w:rFonts w:eastAsia="Calibri" w:cs="Arial"/>
          <w:b/>
          <w:color w:val="000000"/>
          <w:sz w:val="24"/>
          <w:szCs w:val="24"/>
        </w:rPr>
      </w:pPr>
    </w:p>
    <w:sectPr w:rsidR="005B5D68" w:rsidRPr="00F823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3F0"/>
    <w:rsid w:val="00420309"/>
    <w:rsid w:val="005B5D68"/>
    <w:rsid w:val="00BC0274"/>
    <w:rsid w:val="00F823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67412"/>
  <w15:chartTrackingRefBased/>
  <w15:docId w15:val="{FDDDED28-8D4C-416F-8BD8-B4B19AD4D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3F0"/>
    <w:pPr>
      <w:spacing w:after="100" w:afterAutospacing="1" w:line="240" w:lineRule="auto"/>
      <w:jc w:val="both"/>
    </w:pPr>
    <w:rPr>
      <w:rFonts w:ascii="Arial" w:eastAsia="Times New Roman" w:hAnsi="Arial" w:cs="Times New Roman"/>
      <w:kern w:val="0"/>
      <w14:ligatures w14:val="none"/>
    </w:rPr>
  </w:style>
  <w:style w:type="paragraph" w:styleId="Heading1">
    <w:name w:val="heading 1"/>
    <w:basedOn w:val="Normal"/>
    <w:next w:val="Normal"/>
    <w:link w:val="Heading1Char"/>
    <w:uiPriority w:val="9"/>
    <w:qFormat/>
    <w:rsid w:val="00F823F0"/>
    <w:pPr>
      <w:keepNext/>
      <w:keepLines/>
      <w:spacing w:before="360" w:after="80" w:afterAutospacing="0" w:line="259"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823F0"/>
    <w:pPr>
      <w:keepNext/>
      <w:keepLines/>
      <w:spacing w:before="160" w:after="80" w:afterAutospacing="0" w:line="259"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823F0"/>
    <w:pPr>
      <w:keepNext/>
      <w:keepLines/>
      <w:spacing w:before="160" w:after="80" w:afterAutospacing="0" w:line="259"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823F0"/>
    <w:pPr>
      <w:keepNext/>
      <w:keepLines/>
      <w:spacing w:before="80" w:after="40" w:afterAutospacing="0" w:line="259" w:lineRule="auto"/>
      <w:jc w:val="left"/>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823F0"/>
    <w:pPr>
      <w:keepNext/>
      <w:keepLines/>
      <w:spacing w:before="80" w:after="40" w:afterAutospacing="0" w:line="259" w:lineRule="auto"/>
      <w:jc w:val="left"/>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823F0"/>
    <w:pPr>
      <w:keepNext/>
      <w:keepLines/>
      <w:spacing w:before="40" w:after="0" w:afterAutospacing="0" w:line="259" w:lineRule="auto"/>
      <w:jc w:val="left"/>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823F0"/>
    <w:pPr>
      <w:keepNext/>
      <w:keepLines/>
      <w:spacing w:before="40" w:after="0" w:afterAutospacing="0" w:line="259" w:lineRule="auto"/>
      <w:jc w:val="left"/>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823F0"/>
    <w:pPr>
      <w:keepNext/>
      <w:keepLines/>
      <w:spacing w:after="0" w:afterAutospacing="0" w:line="259" w:lineRule="auto"/>
      <w:jc w:val="left"/>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823F0"/>
    <w:pPr>
      <w:keepNext/>
      <w:keepLines/>
      <w:spacing w:after="0" w:afterAutospacing="0" w:line="259" w:lineRule="auto"/>
      <w:jc w:val="left"/>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23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23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23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23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23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23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23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23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23F0"/>
    <w:rPr>
      <w:rFonts w:eastAsiaTheme="majorEastAsia" w:cstheme="majorBidi"/>
      <w:color w:val="272727" w:themeColor="text1" w:themeTint="D8"/>
    </w:rPr>
  </w:style>
  <w:style w:type="paragraph" w:styleId="Title">
    <w:name w:val="Title"/>
    <w:basedOn w:val="Normal"/>
    <w:next w:val="Normal"/>
    <w:link w:val="TitleChar"/>
    <w:uiPriority w:val="10"/>
    <w:qFormat/>
    <w:rsid w:val="00F823F0"/>
    <w:pPr>
      <w:spacing w:after="80" w:afterAutospacing="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823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23F0"/>
    <w:pPr>
      <w:numPr>
        <w:ilvl w:val="1"/>
      </w:numPr>
      <w:spacing w:after="160" w:afterAutospacing="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823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23F0"/>
    <w:pPr>
      <w:spacing w:before="160" w:after="160" w:afterAutospacing="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F823F0"/>
    <w:rPr>
      <w:i/>
      <w:iCs/>
      <w:color w:val="404040" w:themeColor="text1" w:themeTint="BF"/>
    </w:rPr>
  </w:style>
  <w:style w:type="paragraph" w:styleId="ListParagraph">
    <w:name w:val="List Paragraph"/>
    <w:basedOn w:val="Normal"/>
    <w:uiPriority w:val="34"/>
    <w:qFormat/>
    <w:rsid w:val="00F823F0"/>
    <w:pPr>
      <w:spacing w:after="160" w:afterAutospacing="0" w:line="259" w:lineRule="auto"/>
      <w:ind w:left="720"/>
      <w:contextualSpacing/>
      <w:jc w:val="left"/>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F823F0"/>
    <w:rPr>
      <w:i/>
      <w:iCs/>
      <w:color w:val="0F4761" w:themeColor="accent1" w:themeShade="BF"/>
    </w:rPr>
  </w:style>
  <w:style w:type="paragraph" w:styleId="IntenseQuote">
    <w:name w:val="Intense Quote"/>
    <w:basedOn w:val="Normal"/>
    <w:next w:val="Normal"/>
    <w:link w:val="IntenseQuoteChar"/>
    <w:uiPriority w:val="30"/>
    <w:qFormat/>
    <w:rsid w:val="00F823F0"/>
    <w:pPr>
      <w:pBdr>
        <w:top w:val="single" w:sz="4" w:space="10" w:color="0F4761" w:themeColor="accent1" w:themeShade="BF"/>
        <w:bottom w:val="single" w:sz="4" w:space="10" w:color="0F4761" w:themeColor="accent1" w:themeShade="BF"/>
      </w:pBdr>
      <w:spacing w:before="360" w:after="360" w:afterAutospacing="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F823F0"/>
    <w:rPr>
      <w:i/>
      <w:iCs/>
      <w:color w:val="0F4761" w:themeColor="accent1" w:themeShade="BF"/>
    </w:rPr>
  </w:style>
  <w:style w:type="character" w:styleId="IntenseReference">
    <w:name w:val="Intense Reference"/>
    <w:basedOn w:val="DefaultParagraphFont"/>
    <w:uiPriority w:val="32"/>
    <w:qFormat/>
    <w:rsid w:val="00F823F0"/>
    <w:rPr>
      <w:b/>
      <w:bCs/>
      <w:smallCaps/>
      <w:color w:val="0F4761" w:themeColor="accent1" w:themeShade="BF"/>
      <w:spacing w:val="5"/>
    </w:rPr>
  </w:style>
  <w:style w:type="character" w:styleId="Hyperlink">
    <w:name w:val="Hyperlink"/>
    <w:uiPriority w:val="99"/>
    <w:rsid w:val="00F823F0"/>
    <w:rPr>
      <w:color w:val="0000FF"/>
      <w:u w:val="single"/>
    </w:rPr>
  </w:style>
  <w:style w:type="paragraph" w:customStyle="1" w:styleId="Body">
    <w:name w:val="Body"/>
    <w:basedOn w:val="Normal"/>
    <w:rsid w:val="00F823F0"/>
    <w:pPr>
      <w:suppressAutoHyphens/>
      <w:autoSpaceDE w:val="0"/>
      <w:autoSpaceDN w:val="0"/>
      <w:adjustRightInd w:val="0"/>
      <w:spacing w:after="200" w:afterAutospacing="0"/>
    </w:pPr>
    <w:rPr>
      <w:rFonts w:ascii="Times New Roman" w:eastAsia="Calibr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07/s10615-015-0573-y"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2714</Words>
  <Characters>15475</Characters>
  <Application>Microsoft Office Word</Application>
  <DocSecurity>0</DocSecurity>
  <Lines>128</Lines>
  <Paragraphs>36</Paragraphs>
  <ScaleCrop>false</ScaleCrop>
  <Company/>
  <LinksUpToDate>false</LinksUpToDate>
  <CharactersWithSpaces>18153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rawlings</dc:creator>
  <cp:keywords/>
  <dc:description/>
  <cp:lastModifiedBy>stephen rawlings</cp:lastModifiedBy>
  <cp:revision>1</cp:revision>
  <dcterms:created xsi:type="dcterms:W3CDTF">2026-06-03T07:46:00Z</dcterms:created>
  <dcterms:modified xsi:type="dcterms:W3CDTF">2026-06-03T07:46:00Z</dcterms:modified>
</cp:coreProperties>
</file>