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3590" w14:textId="77777777" w:rsidR="0036260B" w:rsidRPr="00CC1E6C" w:rsidRDefault="0036260B" w:rsidP="0036260B">
      <w:pPr>
        <w:pStyle w:val="Body"/>
        <w:spacing w:line="276" w:lineRule="auto"/>
        <w:rPr>
          <w:rFonts w:ascii="Arial" w:hAnsi="Arial" w:cs="Arial"/>
          <w:b/>
          <w:color w:val="000000"/>
        </w:rPr>
      </w:pPr>
      <w:r>
        <w:rPr>
          <w:rFonts w:ascii="Arial" w:hAnsi="Arial" w:cs="Arial"/>
          <w:b/>
          <w:noProof/>
          <w:color w:val="1F3864"/>
          <w:sz w:val="36"/>
          <w:szCs w:val="36"/>
        </w:rPr>
        <w:drawing>
          <wp:inline distT="0" distB="0" distL="0" distR="0" wp14:anchorId="7B35BD35" wp14:editId="57A8A22C">
            <wp:extent cx="5731510" cy="55245"/>
            <wp:effectExtent l="0" t="0" r="2540" b="1905"/>
            <wp:docPr id="753279690" name="Picture 7532796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1F8DC256" w14:textId="77777777" w:rsidR="0036260B" w:rsidRPr="005C5859" w:rsidRDefault="0036260B" w:rsidP="0036260B">
      <w:pPr>
        <w:jc w:val="left"/>
        <w:rPr>
          <w:rFonts w:eastAsia="Calibri" w:cs="Arial"/>
          <w:b/>
          <w:bCs/>
          <w:color w:val="0A2F41" w:themeColor="accent1" w:themeShade="80"/>
          <w:sz w:val="36"/>
          <w:szCs w:val="36"/>
        </w:rPr>
      </w:pPr>
      <w:r w:rsidRPr="005C5859">
        <w:rPr>
          <w:rFonts w:eastAsia="Calibri" w:cs="Arial"/>
          <w:b/>
          <w:bCs/>
          <w:color w:val="0A2F41" w:themeColor="accent1" w:themeShade="80"/>
          <w:sz w:val="36"/>
          <w:szCs w:val="36"/>
        </w:rPr>
        <w:t>Fear, Silence and Survival: Victim-Community Relations in the Affective Landscape of Banditry in Northwest Nigeria</w:t>
      </w:r>
    </w:p>
    <w:p w14:paraId="1C651BCF" w14:textId="77777777" w:rsidR="0036260B" w:rsidRPr="009709D6" w:rsidRDefault="0036260B" w:rsidP="0036260B">
      <w:pPr>
        <w:jc w:val="left"/>
        <w:rPr>
          <w:i/>
          <w:iCs/>
        </w:rPr>
      </w:pPr>
      <w:r w:rsidRPr="005C5859">
        <w:t>’Tunde Adeparusi,</w:t>
      </w:r>
      <w:r>
        <w:rPr>
          <w:i/>
          <w:iCs/>
        </w:rPr>
        <w:t xml:space="preserve"> </w:t>
      </w:r>
      <w:r w:rsidRPr="005C5859">
        <w:rPr>
          <w:i/>
          <w:iCs/>
        </w:rPr>
        <w:t>Keele University</w:t>
      </w:r>
    </w:p>
    <w:p w14:paraId="6DE8A15F" w14:textId="77777777" w:rsidR="0036260B" w:rsidRPr="0081572C" w:rsidRDefault="0036260B" w:rsidP="0036260B">
      <w:pPr>
        <w:spacing w:after="0" w:afterAutospacing="0" w:line="276" w:lineRule="auto"/>
        <w:rPr>
          <w:rFonts w:cs="Arial"/>
          <w:bCs/>
        </w:rPr>
      </w:pPr>
      <w:r w:rsidRPr="007523BF">
        <w:rPr>
          <w:noProof/>
          <w:color w:val="FF0000"/>
          <w:lang w:eastAsia="en-GB"/>
        </w:rPr>
        <w:drawing>
          <wp:inline distT="0" distB="0" distL="0" distR="0" wp14:anchorId="7B625F00" wp14:editId="07E38E38">
            <wp:extent cx="5731510" cy="55245"/>
            <wp:effectExtent l="0" t="0" r="2540" b="1905"/>
            <wp:docPr id="1664185166" name="Picture 1664185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1083BD2A" w14:textId="77777777" w:rsidR="0036260B" w:rsidRDefault="0036260B" w:rsidP="0036260B">
      <w:pPr>
        <w:spacing w:line="276" w:lineRule="auto"/>
      </w:pPr>
    </w:p>
    <w:p w14:paraId="28FCAD48" w14:textId="77777777" w:rsidR="0036260B" w:rsidRPr="005C5859" w:rsidRDefault="0036260B" w:rsidP="0036260B">
      <w:pPr>
        <w:spacing w:line="276" w:lineRule="auto"/>
      </w:pPr>
      <w:r w:rsidRPr="005C5859">
        <w:t>In communities repeatedly exposed to kidnapping, raids, extortion, displacement and violent uncertainty, fear is not simply a reaction to violence; it is a way of life. In northwest Nigeria, where banditry has reshaped daily existence across many rural and semi-rural communities, insecurity is experienced not only through physical harm, economic loss or weak state protection, but also through emotion. It affects the body, settles into relationships, reshapes trust, and alters the meaning of community itself.</w:t>
      </w:r>
    </w:p>
    <w:p w14:paraId="00905F67" w14:textId="77777777" w:rsidR="0036260B" w:rsidRPr="005C5859" w:rsidRDefault="0036260B" w:rsidP="0036260B">
      <w:pPr>
        <w:spacing w:line="276" w:lineRule="auto"/>
      </w:pPr>
      <w:r w:rsidRPr="005C5859">
        <w:t>This is where affective criminology becomes especially useful, because it moves us beyond policy language, body counts, and security rhetoric to the emotional textures of violence: fear, grief, shame, silence, anxiety, endurance, and hope. These are not decorative details at the margins of crime; they are central to how violence is lived, interpreted, and survived.</w:t>
      </w:r>
    </w:p>
    <w:p w14:paraId="3DA8A765" w14:textId="77777777" w:rsidR="0036260B" w:rsidRPr="005C5859" w:rsidRDefault="0036260B" w:rsidP="0036260B">
      <w:pPr>
        <w:spacing w:line="276" w:lineRule="auto"/>
      </w:pPr>
      <w:r w:rsidRPr="005C5859">
        <w:t>My current research examines victim-community relations in the context of banditry in northwest Nigeria. At one level, the study explores how victims are received, supported, stigmatised or neglected within their communities. At another, it asks what happens to communal life when violence becomes chronic, when fear becomes ambient, and when survival itself requires constant emotional negotiation.</w:t>
      </w:r>
    </w:p>
    <w:p w14:paraId="0A2A9148" w14:textId="77777777" w:rsidR="0036260B" w:rsidRPr="005C5859" w:rsidRDefault="0036260B" w:rsidP="0036260B">
      <w:pPr>
        <w:spacing w:line="276" w:lineRule="auto"/>
      </w:pPr>
      <w:r w:rsidRPr="005C5859">
        <w:t xml:space="preserve">Banditry in northwest Nigeria has often been analysed through familiar explanatory lenses, including weak governance, poor policing, rural marginalisation, economic hardship, arms proliferation, and political neglect. Whilst </w:t>
      </w:r>
      <w:proofErr w:type="gramStart"/>
      <w:r w:rsidRPr="005C5859">
        <w:t>all of</w:t>
      </w:r>
      <w:proofErr w:type="gramEnd"/>
      <w:r w:rsidRPr="005C5859">
        <w:t xml:space="preserve"> these matter, something important slips through the cracks when violence is treated only as a structural or security problem. What gets missed is the intimate life of insecurity the caution in ordinary movement, the silence that enters conversation, the erosion of trust, the exhaustion of repeated loss, and the effort involved in trying to preserve fragments of normal life.</w:t>
      </w:r>
    </w:p>
    <w:p w14:paraId="1E142FF4" w14:textId="77777777" w:rsidR="0036260B" w:rsidRPr="005C5859" w:rsidRDefault="0036260B" w:rsidP="0036260B">
      <w:pPr>
        <w:spacing w:line="276" w:lineRule="auto"/>
      </w:pPr>
      <w:r w:rsidRPr="005C5859">
        <w:t>Fear, in such settings, does not simply follow violence; it organises life around it, shaping when people go to their farms, whether they travel, who they speak to, and how openly they mourn. It disciplines behaviour, narrows social possibility, and can keep people alive even as it isolates them. In this sense, fear becomes a form of informal governance: it rules not through law, but through anticipation, teaching self-regulation in a world where danger is both familiar and unpredictable.</w:t>
      </w:r>
    </w:p>
    <w:p w14:paraId="07807158" w14:textId="77777777" w:rsidR="0036260B" w:rsidRPr="005C5859" w:rsidRDefault="0036260B" w:rsidP="0036260B">
      <w:pPr>
        <w:spacing w:line="276" w:lineRule="auto"/>
      </w:pPr>
      <w:r w:rsidRPr="005C5859">
        <w:t xml:space="preserve">This has deep implications for victim-community relations, because communities are often imagined as natural sites of solidarity, and sometimes they genuinely are. Victims may be met </w:t>
      </w:r>
      <w:r w:rsidRPr="005C5859">
        <w:lastRenderedPageBreak/>
        <w:t>with sympathy, food, care, prayer and recognition. But victimhood is rarely socially straightforward. Some victims are embraced, while others are received with discomfort, fatigue, suspicion or silence. In places where suffering is widespread and recurring, empathy itself can become strained. Pain begins to compete with pain.</w:t>
      </w:r>
    </w:p>
    <w:p w14:paraId="6588FE4E" w14:textId="77777777" w:rsidR="0036260B" w:rsidRPr="005C5859" w:rsidRDefault="0036260B" w:rsidP="0036260B">
      <w:pPr>
        <w:spacing w:line="276" w:lineRule="auto"/>
      </w:pPr>
      <w:r w:rsidRPr="005C5859">
        <w:t>That does not mean people have stopped caring. More often, it means they care while also being frightened, overwhelmed and emotionally overburdened. In contexts of chronic violence, withdrawal may reflect self-protection rather than indifference. People may avoid painful conversations because naming suffering makes it feel closer. They may struggle to support others fully because they are surviving losses of their own. The emotional economy of insecurity is crowded, uneven and morally complex.</w:t>
      </w:r>
    </w:p>
    <w:p w14:paraId="5390DF29" w14:textId="77777777" w:rsidR="0036260B" w:rsidRPr="005C5859" w:rsidRDefault="0036260B" w:rsidP="0036260B">
      <w:pPr>
        <w:spacing w:line="276" w:lineRule="auto"/>
      </w:pPr>
      <w:r w:rsidRPr="005C5859">
        <w:t xml:space="preserve">Affective criminology helps us sit with this complexity. It reminds us that responses to harm are </w:t>
      </w:r>
      <w:proofErr w:type="gramStart"/>
      <w:r w:rsidRPr="005C5859">
        <w:t>not only institutional</w:t>
      </w:r>
      <w:proofErr w:type="gramEnd"/>
      <w:r w:rsidRPr="005C5859">
        <w:t xml:space="preserve"> or rational. They are embodied, relational and emotionally mediated. A victim returning from captivity may carry trauma, shame, anger or confusion. The community receiving that person may carry fear, helplessness, compassion or suspicion. These </w:t>
      </w:r>
      <w:proofErr w:type="gramStart"/>
      <w:r w:rsidRPr="005C5859">
        <w:t>affects</w:t>
      </w:r>
      <w:proofErr w:type="gramEnd"/>
      <w:r w:rsidRPr="005C5859">
        <w:t xml:space="preserve"> do not remain internal. They shape interactions. They influence how victimhood is narrated, recognised and managed.</w:t>
      </w:r>
    </w:p>
    <w:p w14:paraId="77CE0627" w14:textId="77777777" w:rsidR="0036260B" w:rsidRPr="005C5859" w:rsidRDefault="0036260B" w:rsidP="0036260B">
      <w:pPr>
        <w:spacing w:line="276" w:lineRule="auto"/>
      </w:pPr>
      <w:r w:rsidRPr="005C5859">
        <w:t>Silence is especially important here because it is easy to misread silence as apathy, ignorance or denial. But in violent settings, silence can be a form of survival. People remain silent because speaking may be risky. They remain silent because the boundary between victim, witness and future target is dangerously thin. They remain silent because grief is difficult to perform publicly when insecurity is ongoing and unresolved. Silence, then, is not empty; it is socially meaningful. It tells us something about the emotional climate in which people are trying to endure.</w:t>
      </w:r>
    </w:p>
    <w:p w14:paraId="35CEF357" w14:textId="77777777" w:rsidR="0036260B" w:rsidRPr="005C5859" w:rsidRDefault="0036260B" w:rsidP="0036260B">
      <w:pPr>
        <w:spacing w:line="276" w:lineRule="auto"/>
      </w:pPr>
      <w:r w:rsidRPr="005C5859">
        <w:t xml:space="preserve">Shame also matters. It appears in the shame of being unable to protect one’s family, the shame of dependence after trauma, the shame attached to vulnerability, and the quiet humiliation communities may feel when they cannot defend their own. These dimensions are rarely foregrounded in mainstream criminological accounts, yet they shape how violence is processed, communicated and lived. Shame can isolate victims </w:t>
      </w:r>
      <w:proofErr w:type="gramStart"/>
      <w:r w:rsidRPr="005C5859">
        <w:t>and also</w:t>
      </w:r>
      <w:proofErr w:type="gramEnd"/>
      <w:r w:rsidRPr="005C5859">
        <w:t xml:space="preserve"> interrupt help-seeking. It can generate emotional distance precisely where closeness is needed most.</w:t>
      </w:r>
    </w:p>
    <w:p w14:paraId="5F5A1D1B" w14:textId="77777777" w:rsidR="0036260B" w:rsidRPr="005C5859" w:rsidRDefault="0036260B" w:rsidP="0036260B">
      <w:pPr>
        <w:spacing w:line="276" w:lineRule="auto"/>
      </w:pPr>
      <w:r w:rsidRPr="005C5859">
        <w:t>Still, this is not only a story of fear and fracture. That would be too easy, and frankly too thin. Even in conditions of profound insecurity, people continue to live, improvise, care and hope. Hope does not always arrive in grand form. Sometimes it appears in small acts of endurance: neighbours sharing information, local groups assisting affected families, women sustaining households through grief, religious spaces offering consolation, communities adjusting routines to protect one another. These acts may seem ordinary, but they are socially and criminologically significant. They show that affect is not only a site of injury; it is also a resource for survival.</w:t>
      </w:r>
    </w:p>
    <w:p w14:paraId="1F1B801C" w14:textId="77777777" w:rsidR="0036260B" w:rsidRPr="005C5859" w:rsidRDefault="0036260B" w:rsidP="0036260B">
      <w:pPr>
        <w:spacing w:line="276" w:lineRule="auto"/>
      </w:pPr>
      <w:r w:rsidRPr="005C5859">
        <w:t>This is one reason affective criminology matters. Criminology has often been more comfortable describing harm than dwelling in the emotional worlds harm creates. But if insecurity is lived affectively, then our analyses must be affectively literate. In the case of banditry in northwest Nigeria, insecurity is not simply an event. It is an atmosphere. It lingers. It saturates. It changes what it means to belong, to trust, to mourn and to endure.</w:t>
      </w:r>
    </w:p>
    <w:p w14:paraId="7D0E69D7" w14:textId="77777777" w:rsidR="0036260B" w:rsidRPr="005C5859" w:rsidRDefault="0036260B" w:rsidP="0036260B">
      <w:pPr>
        <w:spacing w:line="276" w:lineRule="auto"/>
      </w:pPr>
      <w:r w:rsidRPr="005C5859">
        <w:lastRenderedPageBreak/>
        <w:t>For researchers, this raises difficult questions. Researching violence is not emotionally neutral work. It involves listening to painful testimony, confronting ambiguity, and recognising the limits of neat analytical language. The field is not only methodologically demanding; it is affectively demanding. To study victimisation seriously is also to reflect on the ethics of attention: how we listen, how we interpret, and whether our conceptual tools are adequate to the complexity of lived harm.</w:t>
      </w:r>
    </w:p>
    <w:p w14:paraId="2CFF5BBC" w14:textId="77777777" w:rsidR="0036260B" w:rsidRPr="005C5859" w:rsidRDefault="0036260B" w:rsidP="0036260B">
      <w:pPr>
        <w:spacing w:line="276" w:lineRule="auto"/>
      </w:pPr>
      <w:r w:rsidRPr="005C5859">
        <w:t>There is always a risk of reducing communities affected by violence to mere sites of breakdown. That would be a mistake. Such communities are not only fractured; they are adaptive. They are not only fearful; they are inventive. They are not only vulnerable; they remain morally and emotionally active, even when that activity takes quiet, ambiguous or hard-to-classify forms. A more affectively attuned criminology allows us to see this more clearly.</w:t>
      </w:r>
    </w:p>
    <w:p w14:paraId="5B6F143C" w14:textId="77777777" w:rsidR="0036260B" w:rsidRPr="005C5859" w:rsidRDefault="0036260B" w:rsidP="0036260B">
      <w:pPr>
        <w:spacing w:line="276" w:lineRule="auto"/>
      </w:pPr>
      <w:r w:rsidRPr="005C5859">
        <w:t>If we want to understand insecurity properly, then we need to take emotion seriously. We must ask not only what violence does, but how it feels, how those feelings circulate, and how they shape social life. Fear can govern. Silence can communicate. Shame can isolate. Hope can persist. Victim-community relations are never merely social arrangements. They are emotional terrains, shaped by pain, memory, uncertainty and the stubborn human will to continue.</w:t>
      </w:r>
    </w:p>
    <w:p w14:paraId="4F6832F0" w14:textId="77777777" w:rsidR="0036260B" w:rsidRDefault="0036260B" w:rsidP="0036260B">
      <w:pPr>
        <w:spacing w:line="276" w:lineRule="auto"/>
      </w:pPr>
      <w:r w:rsidRPr="005C5859">
        <w:t>Banditry in northwest Nigeria is often discussed in the language of crisis. That language is not wrong, but it is incomplete. Crisis describes intensity. It does not fully describe atmosphere. To understand the lived reality of insecurity, we must attend to the affective landscape in which violence unfolds. Only then can we begin to grasp what survival truly demands of victims, of communities, and of those who seek to understand them.</w:t>
      </w:r>
    </w:p>
    <w:p w14:paraId="6B7705AA" w14:textId="77777777" w:rsidR="0036260B" w:rsidRDefault="0036260B" w:rsidP="0036260B">
      <w:pPr>
        <w:spacing w:line="276" w:lineRule="auto"/>
      </w:pPr>
    </w:p>
    <w:p w14:paraId="50213ADA" w14:textId="77777777" w:rsidR="0036260B" w:rsidRPr="00B021AA" w:rsidRDefault="0036260B" w:rsidP="0036260B">
      <w:pPr>
        <w:spacing w:after="240" w:afterAutospacing="0" w:line="276" w:lineRule="auto"/>
        <w:rPr>
          <w:rFonts w:cs="Arial"/>
          <w:b/>
          <w:sz w:val="18"/>
          <w:szCs w:val="18"/>
        </w:rPr>
      </w:pPr>
      <w:r w:rsidRPr="0088399A">
        <w:rPr>
          <w:rFonts w:cs="Arial"/>
          <w:b/>
          <w:sz w:val="18"/>
          <w:szCs w:val="18"/>
        </w:rPr>
        <w:t>References</w:t>
      </w:r>
    </w:p>
    <w:p w14:paraId="25DB8CD9" w14:textId="77777777" w:rsidR="0036260B" w:rsidRDefault="0036260B" w:rsidP="0036260B">
      <w:pPr>
        <w:spacing w:after="0" w:afterAutospacing="0" w:line="276" w:lineRule="auto"/>
        <w:ind w:left="720" w:hanging="720"/>
        <w:jc w:val="left"/>
        <w:rPr>
          <w:rFonts w:cs="Arial"/>
          <w:bCs/>
          <w:sz w:val="18"/>
          <w:szCs w:val="18"/>
        </w:rPr>
      </w:pPr>
      <w:r w:rsidRPr="005C5859">
        <w:rPr>
          <w:rFonts w:cs="Arial"/>
          <w:bCs/>
          <w:sz w:val="18"/>
          <w:szCs w:val="18"/>
        </w:rPr>
        <w:t xml:space="preserve">Galtung, J. (1969). Violence, peace, and peace research. </w:t>
      </w:r>
      <w:r w:rsidRPr="005C5859">
        <w:rPr>
          <w:rFonts w:cs="Arial"/>
          <w:bCs/>
          <w:i/>
          <w:iCs/>
          <w:sz w:val="18"/>
          <w:szCs w:val="18"/>
        </w:rPr>
        <w:t>Journal of Peace Research, 6</w:t>
      </w:r>
      <w:r w:rsidRPr="005C5859">
        <w:rPr>
          <w:rFonts w:cs="Arial"/>
          <w:bCs/>
          <w:sz w:val="18"/>
          <w:szCs w:val="18"/>
        </w:rPr>
        <w:t>(3), 167–191.</w:t>
      </w:r>
    </w:p>
    <w:p w14:paraId="72B71787" w14:textId="77777777" w:rsidR="0036260B" w:rsidRDefault="0036260B" w:rsidP="0036260B">
      <w:pPr>
        <w:spacing w:after="0" w:afterAutospacing="0" w:line="276" w:lineRule="auto"/>
        <w:ind w:left="720" w:hanging="720"/>
        <w:jc w:val="left"/>
        <w:rPr>
          <w:rFonts w:cs="Arial"/>
          <w:bCs/>
          <w:sz w:val="18"/>
          <w:szCs w:val="18"/>
        </w:rPr>
      </w:pPr>
      <w:r w:rsidRPr="005C5859">
        <w:rPr>
          <w:rFonts w:cs="Arial"/>
          <w:bCs/>
          <w:sz w:val="18"/>
          <w:szCs w:val="18"/>
        </w:rPr>
        <w:t xml:space="preserve">Walklate, S. (2011). Reframing criminal victimization: Finding a place for vulnerability and resilience. </w:t>
      </w:r>
      <w:r w:rsidRPr="005C5859">
        <w:rPr>
          <w:rFonts w:cs="Arial"/>
          <w:bCs/>
          <w:i/>
          <w:iCs/>
          <w:sz w:val="18"/>
          <w:szCs w:val="18"/>
        </w:rPr>
        <w:t>Theoretical Criminology, 15</w:t>
      </w:r>
      <w:r w:rsidRPr="005C5859">
        <w:rPr>
          <w:rFonts w:cs="Arial"/>
          <w:bCs/>
          <w:sz w:val="18"/>
          <w:szCs w:val="18"/>
        </w:rPr>
        <w:t>(2), 179–194.</w:t>
      </w:r>
    </w:p>
    <w:p w14:paraId="750E86CF" w14:textId="77777777" w:rsidR="0036260B" w:rsidRPr="005C5859" w:rsidRDefault="0036260B" w:rsidP="0036260B">
      <w:pPr>
        <w:spacing w:after="0" w:afterAutospacing="0" w:line="276" w:lineRule="auto"/>
        <w:ind w:left="720" w:hanging="720"/>
        <w:jc w:val="left"/>
        <w:rPr>
          <w:rFonts w:cs="Arial"/>
          <w:bCs/>
          <w:sz w:val="18"/>
          <w:szCs w:val="18"/>
        </w:rPr>
      </w:pPr>
      <w:r w:rsidRPr="005C5859">
        <w:rPr>
          <w:rFonts w:cs="Arial"/>
          <w:bCs/>
          <w:sz w:val="18"/>
          <w:szCs w:val="18"/>
        </w:rPr>
        <w:t xml:space="preserve">Young, J. (2007). </w:t>
      </w:r>
      <w:r w:rsidRPr="005C5859">
        <w:rPr>
          <w:rFonts w:cs="Arial"/>
          <w:bCs/>
          <w:i/>
          <w:iCs/>
          <w:sz w:val="18"/>
          <w:szCs w:val="18"/>
        </w:rPr>
        <w:t>The vertigo of late modernity</w:t>
      </w:r>
      <w:r w:rsidRPr="005C5859">
        <w:rPr>
          <w:rFonts w:cs="Arial"/>
          <w:bCs/>
          <w:sz w:val="18"/>
          <w:szCs w:val="18"/>
        </w:rPr>
        <w:t xml:space="preserve">. London: Sage. </w:t>
      </w:r>
    </w:p>
    <w:p w14:paraId="49569B46" w14:textId="77777777" w:rsidR="0036260B" w:rsidRPr="00CF4DDE" w:rsidRDefault="0036260B" w:rsidP="0036260B">
      <w:pPr>
        <w:spacing w:after="0" w:afterAutospacing="0" w:line="276" w:lineRule="auto"/>
        <w:jc w:val="left"/>
        <w:rPr>
          <w:rFonts w:cs="Arial"/>
          <w:bCs/>
          <w:sz w:val="18"/>
          <w:szCs w:val="18"/>
        </w:rPr>
      </w:pPr>
    </w:p>
    <w:p w14:paraId="1A8FB1CF" w14:textId="77777777" w:rsidR="0036260B" w:rsidRDefault="0036260B" w:rsidP="0036260B">
      <w:pPr>
        <w:pStyle w:val="Body"/>
        <w:spacing w:line="360" w:lineRule="auto"/>
        <w:rPr>
          <w:rFonts w:ascii="Arial" w:hAnsi="Arial" w:cs="Arial"/>
          <w:b/>
          <w:color w:val="1F3864"/>
          <w:sz w:val="36"/>
          <w:szCs w:val="36"/>
        </w:rPr>
      </w:pPr>
      <w:r>
        <w:rPr>
          <w:rFonts w:ascii="Arial" w:hAnsi="Arial" w:cs="Arial"/>
          <w:b/>
          <w:noProof/>
          <w:color w:val="1F3864"/>
          <w:sz w:val="36"/>
          <w:szCs w:val="36"/>
        </w:rPr>
        <w:drawing>
          <wp:inline distT="0" distB="0" distL="0" distR="0" wp14:anchorId="3FD3C0B4" wp14:editId="3994825F">
            <wp:extent cx="5731510" cy="55245"/>
            <wp:effectExtent l="0" t="0" r="2540" b="1905"/>
            <wp:docPr id="8863410" name="Picture 88634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2E7EBEB0" w14:textId="5050A3CC" w:rsidR="005B5D68" w:rsidRPr="0036260B" w:rsidRDefault="005B5D68" w:rsidP="0036260B">
      <w:pPr>
        <w:spacing w:after="160" w:afterAutospacing="0" w:line="259" w:lineRule="auto"/>
        <w:jc w:val="left"/>
        <w:rPr>
          <w:rFonts w:eastAsia="Calibri" w:cstheme="majorBidi"/>
          <w:b/>
          <w:color w:val="0A2F41" w:themeColor="accent1" w:themeShade="80"/>
          <w:sz w:val="36"/>
          <w:szCs w:val="32"/>
        </w:rPr>
      </w:pPr>
    </w:p>
    <w:sectPr w:rsidR="005B5D68" w:rsidRPr="003626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0B"/>
    <w:rsid w:val="0036260B"/>
    <w:rsid w:val="00420309"/>
    <w:rsid w:val="005B5D68"/>
    <w:rsid w:val="00BC0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A988"/>
  <w15:chartTrackingRefBased/>
  <w15:docId w15:val="{A0C69FDC-B48C-4DC0-9B64-15FFBEF9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60B"/>
    <w:pPr>
      <w:spacing w:after="100" w:afterAutospacing="1" w:line="240" w:lineRule="auto"/>
      <w:jc w:val="both"/>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36260B"/>
    <w:pPr>
      <w:keepNext/>
      <w:keepLines/>
      <w:spacing w:before="360" w:after="80" w:afterAutospacing="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260B"/>
    <w:pPr>
      <w:keepNext/>
      <w:keepLines/>
      <w:spacing w:before="160" w:after="80" w:afterAutospacing="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260B"/>
    <w:pPr>
      <w:keepNext/>
      <w:keepLines/>
      <w:spacing w:before="160" w:after="80" w:afterAutospacing="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260B"/>
    <w:pPr>
      <w:keepNext/>
      <w:keepLines/>
      <w:spacing w:before="80" w:after="40" w:afterAutospacing="0" w:line="259"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6260B"/>
    <w:pPr>
      <w:keepNext/>
      <w:keepLines/>
      <w:spacing w:before="80" w:after="40" w:afterAutospacing="0" w:line="259"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6260B"/>
    <w:pPr>
      <w:keepNext/>
      <w:keepLines/>
      <w:spacing w:before="40" w:after="0" w:afterAutospacing="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6260B"/>
    <w:pPr>
      <w:keepNext/>
      <w:keepLines/>
      <w:spacing w:before="40" w:after="0" w:afterAutospacing="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6260B"/>
    <w:pPr>
      <w:keepNext/>
      <w:keepLines/>
      <w:spacing w:after="0" w:afterAutospacing="0"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6260B"/>
    <w:pPr>
      <w:keepNext/>
      <w:keepLines/>
      <w:spacing w:after="0" w:afterAutospacing="0"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60B"/>
    <w:rPr>
      <w:rFonts w:eastAsiaTheme="majorEastAsia" w:cstheme="majorBidi"/>
      <w:color w:val="272727" w:themeColor="text1" w:themeTint="D8"/>
    </w:rPr>
  </w:style>
  <w:style w:type="paragraph" w:styleId="Title">
    <w:name w:val="Title"/>
    <w:basedOn w:val="Normal"/>
    <w:next w:val="Normal"/>
    <w:link w:val="TitleChar"/>
    <w:uiPriority w:val="10"/>
    <w:qFormat/>
    <w:rsid w:val="0036260B"/>
    <w:pPr>
      <w:spacing w:after="80" w:afterAutospacing="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2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60B"/>
    <w:pPr>
      <w:numPr>
        <w:ilvl w:val="1"/>
      </w:numPr>
      <w:spacing w:after="160" w:afterAutospacing="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2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60B"/>
    <w:pPr>
      <w:spacing w:before="160" w:after="160" w:afterAutospacing="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6260B"/>
    <w:rPr>
      <w:i/>
      <w:iCs/>
      <w:color w:val="404040" w:themeColor="text1" w:themeTint="BF"/>
    </w:rPr>
  </w:style>
  <w:style w:type="paragraph" w:styleId="ListParagraph">
    <w:name w:val="List Paragraph"/>
    <w:basedOn w:val="Normal"/>
    <w:uiPriority w:val="34"/>
    <w:qFormat/>
    <w:rsid w:val="0036260B"/>
    <w:pPr>
      <w:spacing w:after="160" w:afterAutospacing="0" w:line="259" w:lineRule="auto"/>
      <w:ind w:left="72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6260B"/>
    <w:rPr>
      <w:i/>
      <w:iCs/>
      <w:color w:val="0F4761" w:themeColor="accent1" w:themeShade="BF"/>
    </w:rPr>
  </w:style>
  <w:style w:type="paragraph" w:styleId="IntenseQuote">
    <w:name w:val="Intense Quote"/>
    <w:basedOn w:val="Normal"/>
    <w:next w:val="Normal"/>
    <w:link w:val="IntenseQuoteChar"/>
    <w:uiPriority w:val="30"/>
    <w:qFormat/>
    <w:rsid w:val="0036260B"/>
    <w:pPr>
      <w:pBdr>
        <w:top w:val="single" w:sz="4" w:space="10" w:color="0F4761" w:themeColor="accent1" w:themeShade="BF"/>
        <w:bottom w:val="single" w:sz="4" w:space="10" w:color="0F4761" w:themeColor="accent1" w:themeShade="BF"/>
      </w:pBdr>
      <w:spacing w:before="360" w:after="360" w:afterAutospacing="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6260B"/>
    <w:rPr>
      <w:i/>
      <w:iCs/>
      <w:color w:val="0F4761" w:themeColor="accent1" w:themeShade="BF"/>
    </w:rPr>
  </w:style>
  <w:style w:type="character" w:styleId="IntenseReference">
    <w:name w:val="Intense Reference"/>
    <w:basedOn w:val="DefaultParagraphFont"/>
    <w:uiPriority w:val="32"/>
    <w:qFormat/>
    <w:rsid w:val="0036260B"/>
    <w:rPr>
      <w:b/>
      <w:bCs/>
      <w:smallCaps/>
      <w:color w:val="0F4761" w:themeColor="accent1" w:themeShade="BF"/>
      <w:spacing w:val="5"/>
    </w:rPr>
  </w:style>
  <w:style w:type="paragraph" w:customStyle="1" w:styleId="Body">
    <w:name w:val="Body"/>
    <w:basedOn w:val="Normal"/>
    <w:rsid w:val="0036260B"/>
    <w:pPr>
      <w:suppressAutoHyphens/>
      <w:autoSpaceDE w:val="0"/>
      <w:autoSpaceDN w:val="0"/>
      <w:adjustRightInd w:val="0"/>
      <w:spacing w:after="200" w:afterAutospacing="0"/>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7171</Characters>
  <Application>Microsoft Office Word</Application>
  <DocSecurity>0</DocSecurity>
  <Lines>59</Lines>
  <Paragraphs>16</Paragraphs>
  <ScaleCrop>false</ScaleCrop>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rawlings</dc:creator>
  <cp:keywords/>
  <dc:description/>
  <cp:lastModifiedBy>stephen rawlings</cp:lastModifiedBy>
  <cp:revision>1</cp:revision>
  <dcterms:created xsi:type="dcterms:W3CDTF">2026-06-03T07:47:00Z</dcterms:created>
  <dcterms:modified xsi:type="dcterms:W3CDTF">2026-06-03T07:48:00Z</dcterms:modified>
</cp:coreProperties>
</file>