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71550" w14:textId="77777777" w:rsidR="003005CD" w:rsidRDefault="003005CD" w:rsidP="003005CD">
      <w:pPr>
        <w:rPr>
          <w:rFonts w:eastAsia="Calibri" w:cs="Arial"/>
          <w:b/>
          <w:bCs/>
          <w:color w:val="0A2F41" w:themeColor="accent1" w:themeShade="80"/>
          <w:sz w:val="36"/>
          <w:szCs w:val="36"/>
        </w:rPr>
      </w:pPr>
      <w:r w:rsidRPr="003D13E8">
        <w:rPr>
          <w:rFonts w:eastAsia="Calibri" w:cs="Arial"/>
          <w:b/>
          <w:bCs/>
          <w:color w:val="0A2F41" w:themeColor="accent1" w:themeShade="80"/>
          <w:sz w:val="36"/>
          <w:szCs w:val="36"/>
        </w:rPr>
        <w:t>On Sartre, Emotion, and the Affective Criminology of Climate Protest: A Research Summary</w:t>
      </w:r>
    </w:p>
    <w:p w14:paraId="12999E1F" w14:textId="77777777" w:rsidR="003005CD" w:rsidRPr="003D13E8" w:rsidRDefault="003005CD" w:rsidP="003005CD">
      <w:pPr>
        <w:spacing w:line="276" w:lineRule="auto"/>
        <w:jc w:val="left"/>
      </w:pPr>
      <w:r w:rsidRPr="003D13E8">
        <w:t>David Lydon</w:t>
      </w:r>
      <w:r>
        <w:t xml:space="preserve">, </w:t>
      </w:r>
      <w:r w:rsidRPr="003D13E8">
        <w:rPr>
          <w:i/>
          <w:iCs/>
        </w:rPr>
        <w:t>Canterbury Christ Church University</w:t>
      </w:r>
    </w:p>
    <w:p w14:paraId="2A53B419" w14:textId="77777777" w:rsidR="003005CD" w:rsidRPr="0081572C" w:rsidRDefault="003005CD" w:rsidP="003005CD">
      <w:pPr>
        <w:spacing w:after="0" w:afterAutospacing="0" w:line="276" w:lineRule="auto"/>
        <w:rPr>
          <w:rFonts w:cs="Arial"/>
          <w:bCs/>
        </w:rPr>
      </w:pPr>
      <w:r w:rsidRPr="007523BF">
        <w:rPr>
          <w:noProof/>
          <w:color w:val="FF0000"/>
          <w:lang w:eastAsia="en-GB"/>
        </w:rPr>
        <w:drawing>
          <wp:inline distT="0" distB="0" distL="0" distR="0" wp14:anchorId="02CAF895" wp14:editId="3FAF266C">
            <wp:extent cx="5731510" cy="55245"/>
            <wp:effectExtent l="0" t="0" r="2540" b="1905"/>
            <wp:docPr id="858516936" name="Picture 8585169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6830FCB2" w14:textId="77777777" w:rsidR="003005CD" w:rsidRDefault="003005CD" w:rsidP="003005CD">
      <w:pPr>
        <w:spacing w:line="276" w:lineRule="auto"/>
      </w:pPr>
    </w:p>
    <w:p w14:paraId="3A5B1BCB" w14:textId="77777777" w:rsidR="003005CD" w:rsidRPr="003D13E8" w:rsidRDefault="003005CD" w:rsidP="003005CD">
      <w:pPr>
        <w:spacing w:line="276" w:lineRule="auto"/>
      </w:pPr>
      <w:r w:rsidRPr="003D13E8">
        <w:t>Affective criminology encourages analysis not only of what occurs in contexts of crime, harm, justice, and control, but also of how these contexts are felt, lived, and emotionally negotiated (see Young et al., 2023). Protest is often interpreted through assumptions and clichés about its purpose, its effectiveness, and what participation signifies. Although sociological (Jasper, 2018) and social psychological (Stott, 1998, 2009) scholarship has examined the emotional and identity-based dimensions of protest, the existential phenomenological dimension remains comparatively underdeveloped and unfashionable, this is particularly the case in relation to its utility for affective criminological inquiry.</w:t>
      </w:r>
    </w:p>
    <w:p w14:paraId="5446207F" w14:textId="77777777" w:rsidR="003005CD" w:rsidRPr="003D13E8" w:rsidRDefault="003005CD" w:rsidP="003005CD">
      <w:pPr>
        <w:spacing w:line="276" w:lineRule="auto"/>
      </w:pPr>
      <w:r w:rsidRPr="003D13E8">
        <w:t xml:space="preserve">This research summary describes the application of Jean-Paul Sartre’s (1948) early theory of emotion to an empirical study of climate protest. It argues that protest emotions are not limited as immediate reactions to events. Rather, from an existential phenomenological perspective, emotions are intentional and directed ways of being-in-the-world (Sartre, 1956) through which people make sense of crisis, endure difficult circumstances, and orient themselves. The study further suggests that protest participation can generate a form of ‘affective capital’: emotional resources such as, </w:t>
      </w:r>
      <w:r w:rsidRPr="003D13E8">
        <w:rPr>
          <w:i/>
          <w:iCs/>
        </w:rPr>
        <w:t>inter</w:t>
      </w:r>
      <w:r w:rsidRPr="003D13E8">
        <w:t xml:space="preserve"> </w:t>
      </w:r>
      <w:r w:rsidRPr="003D13E8">
        <w:rPr>
          <w:i/>
          <w:iCs/>
        </w:rPr>
        <w:t>alia</w:t>
      </w:r>
      <w:r w:rsidRPr="003D13E8">
        <w:t>, hope, solidarity, courage, and endurance that are accumulated, shared, and sustained beyond a single protest event. In this sense, Sartre’s account remains valuable for understanding how emotion helps to create and transform the meaning of a situation and the possibilities it appears to contain for the subject.</w:t>
      </w:r>
    </w:p>
    <w:p w14:paraId="21599B9A" w14:textId="77777777" w:rsidR="003005CD" w:rsidRPr="003D13E8" w:rsidRDefault="003005CD" w:rsidP="003005CD">
      <w:pPr>
        <w:spacing w:line="276" w:lineRule="auto"/>
        <w:rPr>
          <w:b/>
          <w:bCs/>
        </w:rPr>
      </w:pPr>
      <w:r w:rsidRPr="003D13E8">
        <w:rPr>
          <w:b/>
          <w:bCs/>
        </w:rPr>
        <w:t>Research context</w:t>
      </w:r>
    </w:p>
    <w:p w14:paraId="05B33944" w14:textId="77777777" w:rsidR="003005CD" w:rsidRPr="003D13E8" w:rsidRDefault="003005CD" w:rsidP="003005CD">
      <w:pPr>
        <w:spacing w:line="276" w:lineRule="auto"/>
      </w:pPr>
      <w:r w:rsidRPr="003D13E8">
        <w:t xml:space="preserve">The study was conducted during Extinction Rebellion’s </w:t>
      </w:r>
      <w:r w:rsidRPr="003D13E8">
        <w:rPr>
          <w:i/>
          <w:iCs/>
        </w:rPr>
        <w:t>Autumn Uprising</w:t>
      </w:r>
      <w:r w:rsidRPr="003D13E8">
        <w:t xml:space="preserve"> in London in 2019. Across several days of non-violent direct action, civil disobedience, celebration, and disruption, protesters transformed major public sites into spaces of assembly, encampment, education, performance, and resistance. These were dynamic settings shaped by crowd movements, protest activities, negotiation, resistance, and police interventions. Climate protest provides a particularly salient context for affective criminology because it brings together existential threat, moral urgency, public (dis)order, and manifestations of state control. Participants are not only responding to political and policy concerns; they are also confronting fears about environmental collapse, obligations to future generations, and the long-term stability of human life. Emotion is therefore central to how such protest is experienced and understood.</w:t>
      </w:r>
    </w:p>
    <w:p w14:paraId="47A8A2C5" w14:textId="77777777" w:rsidR="003005CD" w:rsidRPr="003D13E8" w:rsidRDefault="003005CD" w:rsidP="003005CD">
      <w:pPr>
        <w:spacing w:line="276" w:lineRule="auto"/>
        <w:rPr>
          <w:b/>
          <w:bCs/>
        </w:rPr>
      </w:pPr>
      <w:r w:rsidRPr="003D13E8">
        <w:rPr>
          <w:b/>
          <w:bCs/>
        </w:rPr>
        <w:t>Theoretical framing</w:t>
      </w:r>
    </w:p>
    <w:p w14:paraId="2B793AD5" w14:textId="77777777" w:rsidR="003005CD" w:rsidRPr="003D13E8" w:rsidRDefault="003005CD" w:rsidP="003005CD">
      <w:pPr>
        <w:spacing w:line="276" w:lineRule="auto"/>
      </w:pPr>
      <w:r w:rsidRPr="003D13E8">
        <w:t xml:space="preserve">The study draws on Sartre’s (1948) sketch of a theory of emotion as an innovative resource for affective criminological inquiry. Sartre moves beyond the familiar view in which emotion is treated either as a private inner state or as a simple stimulus-response mechanism. For him, </w:t>
      </w:r>
      <w:r w:rsidRPr="003D13E8">
        <w:lastRenderedPageBreak/>
        <w:t xml:space="preserve">emotion is intentional: it is always </w:t>
      </w:r>
      <w:r w:rsidRPr="003D13E8">
        <w:rPr>
          <w:i/>
          <w:iCs/>
        </w:rPr>
        <w:t>of</w:t>
      </w:r>
      <w:r w:rsidRPr="003D13E8">
        <w:t xml:space="preserve"> something, </w:t>
      </w:r>
      <w:r w:rsidRPr="003D13E8">
        <w:rPr>
          <w:i/>
          <w:iCs/>
        </w:rPr>
        <w:t>about</w:t>
      </w:r>
      <w:r w:rsidRPr="003D13E8">
        <w:t xml:space="preserve"> something, and directed </w:t>
      </w:r>
      <w:r w:rsidRPr="003D13E8">
        <w:rPr>
          <w:i/>
          <w:iCs/>
        </w:rPr>
        <w:t>towards</w:t>
      </w:r>
      <w:r w:rsidRPr="003D13E8">
        <w:t xml:space="preserve"> something. Emotion is therefore not incidental to action, but a meaningful and integral way in which individuals compose, act, and reconfigure their world. Relatedly, Sartre’s (1948) description of emotion as ‘magical’ (not in a mystical sense) refers to its capacity to transform how the world appears and what it seems possible to do within it, whether this is externally observably the case or not. This capacity is especially relevant to affective criminology, where governance, policing, punishment, and resistance can unfold within intensely charged emotional atmospheres. Protest and its policing are never just physical or procedural settings; they are also affective ones. Climate protest is replete with existential concerns, as participants attempt to make sense of real and perceived crisis, personal and collective responsibility, vulnerability, and imagined futures. </w:t>
      </w:r>
    </w:p>
    <w:p w14:paraId="64D2B9FE" w14:textId="77777777" w:rsidR="003005CD" w:rsidRPr="003D13E8" w:rsidRDefault="003005CD" w:rsidP="003005CD">
      <w:pPr>
        <w:spacing w:line="276" w:lineRule="auto"/>
        <w:rPr>
          <w:b/>
          <w:bCs/>
        </w:rPr>
      </w:pPr>
      <w:r w:rsidRPr="003D13E8">
        <w:rPr>
          <w:b/>
          <w:bCs/>
        </w:rPr>
        <w:t>Methodology and methods</w:t>
      </w:r>
    </w:p>
    <w:p w14:paraId="03364375" w14:textId="77777777" w:rsidR="003005CD" w:rsidRPr="003D13E8" w:rsidRDefault="003005CD" w:rsidP="003005CD">
      <w:pPr>
        <w:spacing w:line="276" w:lineRule="auto"/>
      </w:pPr>
      <w:r w:rsidRPr="003D13E8">
        <w:t>The research study employed a descriptive, interpretive phenomenological methodology (Vagle, 2018) to explore how participants experienced and understood their involvement in protest. The phenomenological orientation was important because the aim was to attend closely to emotion and meaning as described by participants themselves, rather than to impose pre-existing emotional categories. It was interpretive in recognising that participants interpret and name their own emotions and experiences and that the researcher, in turn, interprets those accounts.</w:t>
      </w:r>
    </w:p>
    <w:p w14:paraId="53C68E7C" w14:textId="77777777" w:rsidR="003005CD" w:rsidRPr="003D13E8" w:rsidRDefault="003005CD" w:rsidP="003005CD">
      <w:pPr>
        <w:spacing w:line="276" w:lineRule="auto"/>
      </w:pPr>
      <w:r w:rsidRPr="003D13E8">
        <w:t xml:space="preserve">Qualitative non-participant ethnographic methods were used. Fieldwork was conducted by the author across eight days and six protest sites. Data were generated through semi-structured interviews, observation, photography, and detailed fieldnotes. A total of 28 participants were recruited </w:t>
      </w:r>
      <w:r w:rsidRPr="003D13E8">
        <w:rPr>
          <w:i/>
          <w:iCs/>
        </w:rPr>
        <w:t>in</w:t>
      </w:r>
      <w:r w:rsidRPr="003D13E8">
        <w:t xml:space="preserve"> </w:t>
      </w:r>
      <w:r w:rsidRPr="003D13E8">
        <w:rPr>
          <w:i/>
          <w:iCs/>
        </w:rPr>
        <w:t>situ</w:t>
      </w:r>
      <w:r w:rsidRPr="003D13E8">
        <w:t xml:space="preserve"> through convenience sampling, an appropriate strategy within dynamic protest environments (see Daniel, 2012). Interview questions invited participants to reflect on what protest felt like, how being present related to their emotions, and what participation meant to them, in the moment and for the future. This approach aligns closely with Sartre’s account of emotion as intentional and meaning making (Sartre, 1948).</w:t>
      </w:r>
    </w:p>
    <w:p w14:paraId="0355009F" w14:textId="77777777" w:rsidR="003005CD" w:rsidRPr="003D13E8" w:rsidRDefault="003005CD" w:rsidP="003005CD">
      <w:pPr>
        <w:spacing w:line="276" w:lineRule="auto"/>
      </w:pPr>
      <w:r w:rsidRPr="003D13E8">
        <w:t>Observations, photography, and ethnographic fieldnotes also captured the wider atmosphere of the protest setting, including interactions among protesters, relations between protesters and police, movement, embodiment, and police activity. All material was managed using NVivo qualitative data analysis software and analysed through iterative coding (see Jackson and Bazeley, 2019). Initial coding remained close to participants’ own verbal descriptions before being developed into interpretive themes by the author.</w:t>
      </w:r>
    </w:p>
    <w:p w14:paraId="6F058882" w14:textId="77777777" w:rsidR="003005CD" w:rsidRPr="003D13E8" w:rsidRDefault="003005CD" w:rsidP="003005CD">
      <w:pPr>
        <w:spacing w:line="276" w:lineRule="auto"/>
        <w:rPr>
          <w:b/>
          <w:bCs/>
        </w:rPr>
      </w:pPr>
      <w:r w:rsidRPr="003D13E8">
        <w:rPr>
          <w:b/>
          <w:bCs/>
        </w:rPr>
        <w:t>Findings and themes</w:t>
      </w:r>
    </w:p>
    <w:p w14:paraId="4252DEA3" w14:textId="77777777" w:rsidR="003005CD" w:rsidRPr="003D13E8" w:rsidRDefault="003005CD" w:rsidP="003005CD">
      <w:pPr>
        <w:spacing w:line="276" w:lineRule="auto"/>
      </w:pPr>
      <w:r w:rsidRPr="003D13E8">
        <w:t>Four themes were developed from the data: community and connectedness; personal coping strategies; the gaze of others, and bodily sensation.</w:t>
      </w:r>
    </w:p>
    <w:p w14:paraId="0033E3EB" w14:textId="77777777" w:rsidR="003005CD" w:rsidRPr="003D13E8" w:rsidRDefault="003005CD" w:rsidP="003005CD">
      <w:pPr>
        <w:spacing w:line="276" w:lineRule="auto"/>
        <w:rPr>
          <w:i/>
          <w:iCs/>
        </w:rPr>
      </w:pPr>
      <w:r w:rsidRPr="003D13E8">
        <w:rPr>
          <w:i/>
          <w:iCs/>
        </w:rPr>
        <w:t>Community and connectedness</w:t>
      </w:r>
    </w:p>
    <w:p w14:paraId="61BB5389" w14:textId="77777777" w:rsidR="003005CD" w:rsidRPr="003D13E8" w:rsidRDefault="003005CD" w:rsidP="003005CD">
      <w:pPr>
        <w:spacing w:line="276" w:lineRule="auto"/>
      </w:pPr>
      <w:r w:rsidRPr="003D13E8">
        <w:t xml:space="preserve">Participants described protest sites, especially camps, assemblies, and shared resource spaces (e.g., feeding tents, first aid centre, media area, quiet zones) as temporary microcosms of belonging and support. Protest offered an environment in which the experiences of isolation, </w:t>
      </w:r>
      <w:r w:rsidRPr="003D13E8">
        <w:lastRenderedPageBreak/>
        <w:t>often felt in daily life, could be alleviated through mutual recognition and a shared purpose. Encampments were valued not only as practical necessities, but also as spaces in which climate-related anxieties could be expressed, shared, and recognised.</w:t>
      </w:r>
    </w:p>
    <w:p w14:paraId="6A808C34" w14:textId="77777777" w:rsidR="003005CD" w:rsidRPr="003D13E8" w:rsidRDefault="003005CD" w:rsidP="003005CD">
      <w:pPr>
        <w:spacing w:line="276" w:lineRule="auto"/>
      </w:pPr>
      <w:r w:rsidRPr="003D13E8">
        <w:t>For some participants, these spaces represented more than tactical centres of organisation. They were also viewed as exemplars of alternative ways of living together, characterised by crowd-based democracy, collaboration, and compassion. Protest therefore functioned not just as political opposition, but as a form of ‘affective’ refuge: a physical setting in which emotional support and social connection could be cultivated amidst feelings of isolation, neglect, and dissatisfaction.</w:t>
      </w:r>
    </w:p>
    <w:p w14:paraId="608FA285" w14:textId="77777777" w:rsidR="003005CD" w:rsidRPr="003D13E8" w:rsidRDefault="003005CD" w:rsidP="003005CD">
      <w:pPr>
        <w:spacing w:line="276" w:lineRule="auto"/>
        <w:rPr>
          <w:i/>
          <w:iCs/>
        </w:rPr>
      </w:pPr>
      <w:r w:rsidRPr="003D13E8">
        <w:rPr>
          <w:i/>
          <w:iCs/>
        </w:rPr>
        <w:t>Personal coping strategies</w:t>
      </w:r>
    </w:p>
    <w:p w14:paraId="015ABD49" w14:textId="77777777" w:rsidR="003005CD" w:rsidRPr="003D13E8" w:rsidRDefault="003005CD" w:rsidP="003005CD">
      <w:pPr>
        <w:spacing w:line="276" w:lineRule="auto"/>
      </w:pPr>
      <w:r w:rsidRPr="003D13E8">
        <w:t>Participants also described protest as a way of managing difficult emotions such as dread, despair, anger, and exhaustion. This was especially important in relation to non-violent direct action, where emotional regulation formed part of maintaining commitment and self-discipline. Participants spoke of grounding practices such as mindfulness, meditation, breathing exercises, and reliance on support networks and wellbeing structures within the protest movement.</w:t>
      </w:r>
    </w:p>
    <w:p w14:paraId="111C3B64" w14:textId="77777777" w:rsidR="003005CD" w:rsidRPr="003D13E8" w:rsidRDefault="003005CD" w:rsidP="003005CD">
      <w:pPr>
        <w:spacing w:line="276" w:lineRule="auto"/>
      </w:pPr>
      <w:r w:rsidRPr="003D13E8">
        <w:t>These accounts suggest that protest involves a form of affective labour: work undertaken to remain composed, non-violent, and capable of sustained participation over several days in difficult conditions. Camps and communal spaces were described as emotionally sustaining in this regard. They were not merely places from which action was coordinated, but environments in which personal anxiety, fear and anger could be expressed and where participants might find calm, reflection, and restoration.</w:t>
      </w:r>
    </w:p>
    <w:p w14:paraId="031F22B5" w14:textId="77777777" w:rsidR="003005CD" w:rsidRPr="003D13E8" w:rsidRDefault="003005CD" w:rsidP="003005CD">
      <w:pPr>
        <w:spacing w:line="276" w:lineRule="auto"/>
      </w:pPr>
      <w:r w:rsidRPr="003D13E8">
        <w:t>It is here that the idea of ‘affective capital’ becomes analytically useful. What participants described was not emotional release in the moment, but the creation of a more durable reserve of hope, solidarity, courage, and endurance. These emotional resources were not expected to end with the event itself; participants anticipated they could be carried forward into future forms of action and support and sustain them in their personal lives.</w:t>
      </w:r>
    </w:p>
    <w:p w14:paraId="5C831B48" w14:textId="77777777" w:rsidR="003005CD" w:rsidRPr="003D13E8" w:rsidRDefault="003005CD" w:rsidP="003005CD">
      <w:pPr>
        <w:spacing w:line="276" w:lineRule="auto"/>
        <w:rPr>
          <w:i/>
          <w:iCs/>
        </w:rPr>
      </w:pPr>
      <w:r w:rsidRPr="003D13E8">
        <w:rPr>
          <w:i/>
          <w:iCs/>
        </w:rPr>
        <w:t>The ‘gaze’ of others</w:t>
      </w:r>
    </w:p>
    <w:p w14:paraId="2CBA9115" w14:textId="77777777" w:rsidR="003005CD" w:rsidRPr="003D13E8" w:rsidRDefault="003005CD" w:rsidP="003005CD">
      <w:pPr>
        <w:spacing w:line="276" w:lineRule="auto"/>
      </w:pPr>
      <w:r w:rsidRPr="003D13E8">
        <w:t xml:space="preserve">Participants’ accounts also revealed that protest placed them within a reputational and moral scene. They were acutely aware of being seen, watched, and judged by bystanders, police, media, family members, future generations, and by themselves. This produced a complex emotional terrain shaped by feelings of pride, shame, guilt, vindication, and vulnerability. Some participants spoke of not wanting to be the person who had done nothing in the face of climate crisis. Others emphasised the importance of being able to say to their children and families that they had at least tried to resist the </w:t>
      </w:r>
      <w:r w:rsidRPr="003D13E8">
        <w:rPr>
          <w:i/>
          <w:iCs/>
        </w:rPr>
        <w:t>status</w:t>
      </w:r>
      <w:r w:rsidRPr="003D13E8">
        <w:t xml:space="preserve"> </w:t>
      </w:r>
      <w:r w:rsidRPr="003D13E8">
        <w:rPr>
          <w:i/>
          <w:iCs/>
        </w:rPr>
        <w:t>quo</w:t>
      </w:r>
      <w:r w:rsidRPr="003D13E8">
        <w:t xml:space="preserve"> and bring about change in the world.</w:t>
      </w:r>
    </w:p>
    <w:p w14:paraId="0C5CA55A" w14:textId="77777777" w:rsidR="003005CD" w:rsidRPr="003D13E8" w:rsidRDefault="003005CD" w:rsidP="003005CD">
      <w:pPr>
        <w:spacing w:line="276" w:lineRule="auto"/>
      </w:pPr>
      <w:r w:rsidRPr="003D13E8">
        <w:t xml:space="preserve">Sartre’s (1956) concept of the ‘gaze’ is useful here because it illustrates how the self can be impacted through being looked at, judged, documented, and objectified. Protest policing is therefore not only about the physical management of bodies in space; it is also about personal legitimacy, deviance, respectability, and whose emotional claims are treated as preferable or credible. For some participants, coercion or arrest intensified feelings of fear and vulnerability. </w:t>
      </w:r>
      <w:r w:rsidRPr="003D13E8">
        <w:lastRenderedPageBreak/>
        <w:t>For others, it confirmed the seriousness of the climate cause and became a source of pride and vindication. In either case, policing was experienced not simply as physical force, but as an arena within which emotion could be directed and applied to meaning making.</w:t>
      </w:r>
    </w:p>
    <w:p w14:paraId="5940358D" w14:textId="77777777" w:rsidR="003005CD" w:rsidRPr="003D13E8" w:rsidRDefault="003005CD" w:rsidP="003005CD">
      <w:pPr>
        <w:spacing w:line="276" w:lineRule="auto"/>
        <w:rPr>
          <w:i/>
          <w:iCs/>
        </w:rPr>
      </w:pPr>
      <w:r w:rsidRPr="003D13E8">
        <w:rPr>
          <w:i/>
          <w:iCs/>
        </w:rPr>
        <w:t>Bodily sensation</w:t>
      </w:r>
    </w:p>
    <w:p w14:paraId="0F53437C" w14:textId="77777777" w:rsidR="003005CD" w:rsidRPr="003D13E8" w:rsidRDefault="003005CD" w:rsidP="003005CD">
      <w:pPr>
        <w:spacing w:line="276" w:lineRule="auto"/>
      </w:pPr>
      <w:r w:rsidRPr="003D13E8">
        <w:t>Participants described protest emotions as lived in and through their bodies: trembling, clenched fists, tiredness, and exhaustion, smiling, laughing, crying, singing, and chanting, dancing, and the sensory experience of music and noise reverberating through crowded public spaces. Some described the occupation of urban sites as joyful and carnival-like, producing emotional ‘highs’ through the music and performative movement. These accounts are significant because, although Sartre (1948) resists reducing emotion to bodily feeling alone, the data show that corporeal sensation forms a significant part of how protest becomes phenomenologically meaningful and memorable.</w:t>
      </w:r>
    </w:p>
    <w:p w14:paraId="085096AF" w14:textId="77777777" w:rsidR="003005CD" w:rsidRPr="003D13E8" w:rsidRDefault="003005CD" w:rsidP="003005CD">
      <w:pPr>
        <w:spacing w:line="276" w:lineRule="auto"/>
      </w:pPr>
      <w:r w:rsidRPr="003D13E8">
        <w:t xml:space="preserve">For affective criminology, this is important because bodies are one of the primary means through which authority and governance operate: through containment, arrest, dispersal, and the physical organisation of order maintenance. Yet bodies are also the medium of resistance: through, </w:t>
      </w:r>
      <w:r w:rsidRPr="003D13E8">
        <w:rPr>
          <w:i/>
          <w:iCs/>
        </w:rPr>
        <w:t>inter</w:t>
      </w:r>
      <w:r w:rsidRPr="003D13E8">
        <w:t xml:space="preserve"> </w:t>
      </w:r>
      <w:r w:rsidRPr="003D13E8">
        <w:rPr>
          <w:i/>
          <w:iCs/>
        </w:rPr>
        <w:t>alia</w:t>
      </w:r>
      <w:r w:rsidRPr="003D13E8">
        <w:t>, marching, blockading, locking-on, chanting, dancing, performing, and occupying space. The protesting body is therefore both an object of state control and a site of sensing, expression, and meaning making through emotion.</w:t>
      </w:r>
    </w:p>
    <w:p w14:paraId="16B1789D" w14:textId="77777777" w:rsidR="003005CD" w:rsidRPr="003D13E8" w:rsidRDefault="003005CD" w:rsidP="003005CD">
      <w:pPr>
        <w:spacing w:line="276" w:lineRule="auto"/>
        <w:rPr>
          <w:b/>
          <w:bCs/>
        </w:rPr>
      </w:pPr>
      <w:r w:rsidRPr="003D13E8">
        <w:rPr>
          <w:b/>
          <w:bCs/>
        </w:rPr>
        <w:t>Concluding comment</w:t>
      </w:r>
    </w:p>
    <w:p w14:paraId="316CEBFD" w14:textId="77777777" w:rsidR="003005CD" w:rsidRPr="003D13E8" w:rsidRDefault="003005CD" w:rsidP="003005CD">
      <w:pPr>
        <w:spacing w:line="276" w:lineRule="auto"/>
      </w:pPr>
      <w:r w:rsidRPr="003D13E8">
        <w:t>This study makes three linked contributions to affective criminology. First, it offers a theoretical and empirical account of the emotion of protest as intentional, meaningful, and world-making rather than merely reactive. In doing so, it challenges reductive assumptions that continue to shape public and institutional understandings of emotion, by demonstrating that attending to existential and phenomenological dimensions can be a fruitful exercise.</w:t>
      </w:r>
    </w:p>
    <w:p w14:paraId="3AA6114B" w14:textId="77777777" w:rsidR="003005CD" w:rsidRPr="003D13E8" w:rsidRDefault="003005CD" w:rsidP="003005CD">
      <w:pPr>
        <w:spacing w:line="276" w:lineRule="auto"/>
      </w:pPr>
      <w:r w:rsidRPr="003D13E8">
        <w:t>Second, it shows that protest is a site of both governance and counter-governance in which emotion is central. Protest is shaped by policing, stigma, and criminalisation, but it is also a setting in which participants can build temporary and enduring structures of care, support, and hope. Protest emotion is therefore not simply expressive; it is integral to how participants interpret crisis, sustain commitment, and continue acting in the face of uncertainty.</w:t>
      </w:r>
    </w:p>
    <w:p w14:paraId="0FF22F8F" w14:textId="77777777" w:rsidR="003005CD" w:rsidRPr="003D13E8" w:rsidRDefault="003005CD" w:rsidP="003005CD">
      <w:pPr>
        <w:spacing w:line="276" w:lineRule="auto"/>
      </w:pPr>
      <w:r w:rsidRPr="003D13E8">
        <w:t>Third, the study offers some methodological guidance for future research on emotion in contexts of surveillance and control. It demonstrates the value of an approach that avoids the limitation of emotional categorisation, remains attentive to existential and phenomenological dimensions, and takes seriously participants interpretations of the emotional content and significance of protest.</w:t>
      </w:r>
    </w:p>
    <w:p w14:paraId="59173519" w14:textId="77777777" w:rsidR="003005CD" w:rsidRDefault="003005CD" w:rsidP="003005CD">
      <w:pPr>
        <w:spacing w:line="276" w:lineRule="auto"/>
      </w:pPr>
      <w:r w:rsidRPr="003D13E8">
        <w:t>Overall, the research summary demonstrates the contemporary value of Sartre’s sketch of a theory of emotion to the field of affective criminology, which I commend to the reader.</w:t>
      </w:r>
    </w:p>
    <w:p w14:paraId="6A5CEA1A" w14:textId="77777777" w:rsidR="003005CD" w:rsidRDefault="003005CD" w:rsidP="003005CD">
      <w:pPr>
        <w:spacing w:line="276" w:lineRule="auto"/>
      </w:pPr>
    </w:p>
    <w:p w14:paraId="098DE87A" w14:textId="77777777" w:rsidR="003005CD" w:rsidRPr="00B021AA" w:rsidRDefault="003005CD" w:rsidP="003005CD">
      <w:pPr>
        <w:spacing w:after="240" w:afterAutospacing="0" w:line="276" w:lineRule="auto"/>
        <w:rPr>
          <w:rFonts w:cs="Arial"/>
          <w:b/>
          <w:sz w:val="18"/>
          <w:szCs w:val="18"/>
        </w:rPr>
      </w:pPr>
      <w:r w:rsidRPr="0088399A">
        <w:rPr>
          <w:rFonts w:cs="Arial"/>
          <w:b/>
          <w:sz w:val="18"/>
          <w:szCs w:val="18"/>
        </w:rPr>
        <w:t>References</w:t>
      </w:r>
    </w:p>
    <w:p w14:paraId="241C3B8E"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lastRenderedPageBreak/>
        <w:t xml:space="preserve">Daniel, J. (2012). </w:t>
      </w:r>
      <w:r w:rsidRPr="003D13E8">
        <w:rPr>
          <w:rFonts w:cs="Arial"/>
          <w:bCs/>
          <w:i/>
          <w:iCs/>
          <w:sz w:val="18"/>
          <w:szCs w:val="18"/>
        </w:rPr>
        <w:t>Sampling essentials: Practical guidelines for making sampling choices</w:t>
      </w:r>
      <w:r w:rsidRPr="003D13E8">
        <w:rPr>
          <w:rFonts w:cs="Arial"/>
          <w:bCs/>
          <w:sz w:val="18"/>
          <w:szCs w:val="18"/>
        </w:rPr>
        <w:t>. London: SAGE.</w:t>
      </w:r>
    </w:p>
    <w:p w14:paraId="6A258901"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t xml:space="preserve">Emerson, R. M., Fretz, R. I., and Shaw, L. L. (2011). </w:t>
      </w:r>
      <w:r w:rsidRPr="003D13E8">
        <w:rPr>
          <w:rFonts w:cs="Arial"/>
          <w:bCs/>
          <w:i/>
          <w:iCs/>
          <w:sz w:val="18"/>
          <w:szCs w:val="18"/>
        </w:rPr>
        <w:t>Writing ethnographic fieldnotes</w:t>
      </w:r>
      <w:r w:rsidRPr="003D13E8">
        <w:rPr>
          <w:rFonts w:cs="Arial"/>
          <w:bCs/>
          <w:sz w:val="18"/>
          <w:szCs w:val="18"/>
        </w:rPr>
        <w:t>. Chicago: University of Chicago Press.</w:t>
      </w:r>
    </w:p>
    <w:p w14:paraId="3D05E413"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t xml:space="preserve">Jackson, K. and Bazeley, P. (2019). </w:t>
      </w:r>
      <w:r w:rsidRPr="003D13E8">
        <w:rPr>
          <w:rFonts w:cs="Arial"/>
          <w:bCs/>
          <w:i/>
          <w:iCs/>
          <w:sz w:val="18"/>
          <w:szCs w:val="18"/>
        </w:rPr>
        <w:t xml:space="preserve">Qualitative data analysis with </w:t>
      </w:r>
      <w:r w:rsidRPr="003D13E8">
        <w:rPr>
          <w:rFonts w:cs="Arial"/>
          <w:bCs/>
          <w:sz w:val="18"/>
          <w:szCs w:val="18"/>
        </w:rPr>
        <w:t>NVivo. London: SAGE.</w:t>
      </w:r>
    </w:p>
    <w:p w14:paraId="260B7848"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t xml:space="preserve">Jasper, J. M. (2018). </w:t>
      </w:r>
      <w:r w:rsidRPr="003D13E8">
        <w:rPr>
          <w:rFonts w:cs="Arial"/>
          <w:bCs/>
          <w:i/>
          <w:iCs/>
          <w:sz w:val="18"/>
          <w:szCs w:val="18"/>
        </w:rPr>
        <w:t>The emotions of protest</w:t>
      </w:r>
      <w:r w:rsidRPr="003D13E8">
        <w:rPr>
          <w:rFonts w:cs="Arial"/>
          <w:bCs/>
          <w:sz w:val="18"/>
          <w:szCs w:val="18"/>
        </w:rPr>
        <w:t>. Chicago: University of Chicago Press.</w:t>
      </w:r>
    </w:p>
    <w:p w14:paraId="211231A8"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t xml:space="preserve">Sartre, J.-P. (1948). </w:t>
      </w:r>
      <w:r w:rsidRPr="003D13E8">
        <w:rPr>
          <w:rFonts w:cs="Arial"/>
          <w:bCs/>
          <w:i/>
          <w:iCs/>
          <w:sz w:val="18"/>
          <w:szCs w:val="18"/>
        </w:rPr>
        <w:t>The emotions: Outline of a theory</w:t>
      </w:r>
      <w:r w:rsidRPr="003D13E8">
        <w:rPr>
          <w:rFonts w:cs="Arial"/>
          <w:bCs/>
          <w:sz w:val="18"/>
          <w:szCs w:val="18"/>
        </w:rPr>
        <w:t xml:space="preserve"> (B. </w:t>
      </w:r>
      <w:proofErr w:type="spellStart"/>
      <w:r w:rsidRPr="003D13E8">
        <w:rPr>
          <w:rFonts w:cs="Arial"/>
          <w:bCs/>
          <w:sz w:val="18"/>
          <w:szCs w:val="18"/>
        </w:rPr>
        <w:t>Frechtman</w:t>
      </w:r>
      <w:proofErr w:type="spellEnd"/>
      <w:r w:rsidRPr="003D13E8">
        <w:rPr>
          <w:rFonts w:cs="Arial"/>
          <w:bCs/>
          <w:sz w:val="18"/>
          <w:szCs w:val="18"/>
        </w:rPr>
        <w:t>, Trans.). New York: Philosophical Library. (Original work published 1939).</w:t>
      </w:r>
    </w:p>
    <w:p w14:paraId="5207C928"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t xml:space="preserve">Sartre, J.-P. (1956). </w:t>
      </w:r>
      <w:r w:rsidRPr="003D13E8">
        <w:rPr>
          <w:rFonts w:cs="Arial"/>
          <w:bCs/>
          <w:i/>
          <w:iCs/>
          <w:sz w:val="18"/>
          <w:szCs w:val="18"/>
        </w:rPr>
        <w:t>Being and nothingness: An essay on phenomenological ontology</w:t>
      </w:r>
      <w:r w:rsidRPr="003D13E8">
        <w:rPr>
          <w:rFonts w:cs="Arial"/>
          <w:bCs/>
          <w:sz w:val="18"/>
          <w:szCs w:val="18"/>
        </w:rPr>
        <w:t xml:space="preserve"> (H. E. Barnes, Trans.). New York: Philosophical Library. (Original work published 1943).</w:t>
      </w:r>
    </w:p>
    <w:p w14:paraId="0FBCD62E"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t xml:space="preserve">Stott, C. J. (1998). ‘The inter-group dynamics of crowd events.’ In C. Barker and M. Tyldesley (Eds), </w:t>
      </w:r>
      <w:r w:rsidRPr="003D13E8">
        <w:rPr>
          <w:rFonts w:cs="Arial"/>
          <w:bCs/>
          <w:i/>
          <w:iCs/>
          <w:sz w:val="18"/>
          <w:szCs w:val="18"/>
        </w:rPr>
        <w:t>Alternative Futures and Popular Protest</w:t>
      </w:r>
      <w:r w:rsidRPr="003D13E8">
        <w:rPr>
          <w:rFonts w:cs="Arial"/>
          <w:bCs/>
          <w:sz w:val="18"/>
          <w:szCs w:val="18"/>
        </w:rPr>
        <w:t>. Manchester: MMM Press.</w:t>
      </w:r>
    </w:p>
    <w:p w14:paraId="5A716399"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t xml:space="preserve">Stott, C. J. (2009). ‘Crowd psychology and public order policing: an overview of scientific theory and evidence.’ Liverpool: University of Liverpool. Available at: </w:t>
      </w:r>
      <w:hyperlink r:id="rId5" w:history="1">
        <w:r w:rsidRPr="003D13E8">
          <w:rPr>
            <w:rStyle w:val="Hyperlink"/>
            <w:rFonts w:cs="Arial"/>
            <w:bCs/>
            <w:sz w:val="18"/>
            <w:szCs w:val="18"/>
          </w:rPr>
          <w:t>https://workingwithcrowds.com/wp-content/uploads/2018/05/Dr_Clifford_Scott_Crowd_Psychology_and_Public_Order_Policing.pdf</w:t>
        </w:r>
      </w:hyperlink>
      <w:r w:rsidRPr="003D13E8">
        <w:rPr>
          <w:rFonts w:cs="Arial"/>
          <w:bCs/>
          <w:sz w:val="18"/>
          <w:szCs w:val="18"/>
        </w:rPr>
        <w:t>. (Accessed on 6</w:t>
      </w:r>
      <w:r w:rsidRPr="003D13E8">
        <w:rPr>
          <w:rFonts w:cs="Arial"/>
          <w:bCs/>
          <w:sz w:val="18"/>
          <w:szCs w:val="18"/>
          <w:vertAlign w:val="superscript"/>
        </w:rPr>
        <w:t>th</w:t>
      </w:r>
      <w:r w:rsidRPr="003D13E8">
        <w:rPr>
          <w:rFonts w:cs="Arial"/>
          <w:bCs/>
          <w:sz w:val="18"/>
          <w:szCs w:val="18"/>
        </w:rPr>
        <w:t xml:space="preserve"> April 2026).</w:t>
      </w:r>
    </w:p>
    <w:p w14:paraId="4B06C9F6"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t xml:space="preserve">Vagle, M. D. (2018). </w:t>
      </w:r>
      <w:r w:rsidRPr="003D13E8">
        <w:rPr>
          <w:rFonts w:cs="Arial"/>
          <w:bCs/>
          <w:i/>
          <w:iCs/>
          <w:sz w:val="18"/>
          <w:szCs w:val="18"/>
        </w:rPr>
        <w:t>Crafting phenomenological research</w:t>
      </w:r>
      <w:r w:rsidRPr="003D13E8">
        <w:rPr>
          <w:rFonts w:cs="Arial"/>
          <w:bCs/>
          <w:sz w:val="18"/>
          <w:szCs w:val="18"/>
        </w:rPr>
        <w:t>. London: Routledge.</w:t>
      </w:r>
    </w:p>
    <w:p w14:paraId="5E7EB2FD" w14:textId="77777777" w:rsidR="003005CD" w:rsidRPr="003D13E8" w:rsidRDefault="003005CD" w:rsidP="003005CD">
      <w:pPr>
        <w:spacing w:after="0" w:afterAutospacing="0" w:line="276" w:lineRule="auto"/>
        <w:ind w:left="720" w:hanging="720"/>
        <w:jc w:val="left"/>
        <w:rPr>
          <w:rFonts w:cs="Arial"/>
          <w:bCs/>
          <w:sz w:val="18"/>
          <w:szCs w:val="18"/>
        </w:rPr>
      </w:pPr>
      <w:r w:rsidRPr="003D13E8">
        <w:rPr>
          <w:rFonts w:cs="Arial"/>
          <w:bCs/>
          <w:sz w:val="18"/>
          <w:szCs w:val="18"/>
        </w:rPr>
        <w:t xml:space="preserve">Young, A., et al. (2023). ‘Editorial for the thematic section: Affective and sensory </w:t>
      </w:r>
      <w:proofErr w:type="spellStart"/>
      <w:r w:rsidRPr="003D13E8">
        <w:rPr>
          <w:rFonts w:cs="Arial"/>
          <w:bCs/>
          <w:sz w:val="18"/>
          <w:szCs w:val="18"/>
        </w:rPr>
        <w:t>criminologies</w:t>
      </w:r>
      <w:proofErr w:type="spellEnd"/>
      <w:r w:rsidRPr="003D13E8">
        <w:rPr>
          <w:rFonts w:cs="Arial"/>
          <w:bCs/>
          <w:sz w:val="18"/>
          <w:szCs w:val="18"/>
        </w:rPr>
        <w:t xml:space="preserve">.’ </w:t>
      </w:r>
      <w:r w:rsidRPr="003D13E8">
        <w:rPr>
          <w:rFonts w:cs="Arial"/>
          <w:bCs/>
          <w:i/>
          <w:iCs/>
          <w:sz w:val="18"/>
          <w:szCs w:val="18"/>
        </w:rPr>
        <w:t>Criminological Encounters</w:t>
      </w:r>
      <w:r w:rsidRPr="003D13E8">
        <w:rPr>
          <w:rFonts w:cs="Arial"/>
          <w:bCs/>
          <w:sz w:val="18"/>
          <w:szCs w:val="18"/>
        </w:rPr>
        <w:t xml:space="preserve">, 6(1). Available at: </w:t>
      </w:r>
      <w:hyperlink r:id="rId6" w:history="1">
        <w:r w:rsidRPr="003D13E8">
          <w:rPr>
            <w:rStyle w:val="Hyperlink"/>
            <w:rFonts w:cs="Arial"/>
            <w:bCs/>
            <w:sz w:val="18"/>
            <w:szCs w:val="18"/>
          </w:rPr>
          <w:t>https://www.criminologicalencounters.org/index.php/crimenc. DOI 10.26395</w:t>
        </w:r>
      </w:hyperlink>
      <w:r w:rsidRPr="003D13E8">
        <w:rPr>
          <w:rFonts w:cs="Arial"/>
          <w:bCs/>
          <w:sz w:val="18"/>
          <w:szCs w:val="18"/>
        </w:rPr>
        <w:t>. (Accessed on 6</w:t>
      </w:r>
      <w:r w:rsidRPr="003D13E8">
        <w:rPr>
          <w:rFonts w:cs="Arial"/>
          <w:bCs/>
          <w:sz w:val="18"/>
          <w:szCs w:val="18"/>
          <w:vertAlign w:val="superscript"/>
        </w:rPr>
        <w:t>th</w:t>
      </w:r>
      <w:r w:rsidRPr="003D13E8">
        <w:rPr>
          <w:rFonts w:cs="Arial"/>
          <w:bCs/>
          <w:sz w:val="18"/>
          <w:szCs w:val="18"/>
        </w:rPr>
        <w:t xml:space="preserve"> April 2026)</w:t>
      </w:r>
    </w:p>
    <w:p w14:paraId="3DA57ED5" w14:textId="77777777" w:rsidR="003005CD" w:rsidRPr="00CF4DDE" w:rsidRDefault="003005CD" w:rsidP="003005CD">
      <w:pPr>
        <w:spacing w:after="0" w:afterAutospacing="0" w:line="276" w:lineRule="auto"/>
        <w:jc w:val="left"/>
        <w:rPr>
          <w:rFonts w:cs="Arial"/>
          <w:bCs/>
          <w:sz w:val="18"/>
          <w:szCs w:val="18"/>
        </w:rPr>
      </w:pPr>
    </w:p>
    <w:p w14:paraId="10FF92F0" w14:textId="77777777" w:rsidR="003005CD" w:rsidRDefault="003005CD" w:rsidP="003005CD">
      <w:pPr>
        <w:pStyle w:val="Body"/>
        <w:spacing w:line="360" w:lineRule="auto"/>
        <w:rPr>
          <w:rFonts w:ascii="Arial" w:hAnsi="Arial" w:cs="Arial"/>
          <w:b/>
          <w:color w:val="1F3864"/>
          <w:sz w:val="36"/>
          <w:szCs w:val="36"/>
        </w:rPr>
      </w:pPr>
      <w:r>
        <w:rPr>
          <w:rFonts w:ascii="Arial" w:hAnsi="Arial" w:cs="Arial"/>
          <w:b/>
          <w:noProof/>
          <w:color w:val="1F3864"/>
          <w:sz w:val="36"/>
          <w:szCs w:val="36"/>
        </w:rPr>
        <w:drawing>
          <wp:inline distT="0" distB="0" distL="0" distR="0" wp14:anchorId="3D61E337" wp14:editId="6F5687A0">
            <wp:extent cx="5731510" cy="55245"/>
            <wp:effectExtent l="0" t="0" r="2540" b="1905"/>
            <wp:docPr id="383379523" name="Picture 383379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pic:spPr>
                </pic:pic>
              </a:graphicData>
            </a:graphic>
          </wp:inline>
        </w:drawing>
      </w:r>
    </w:p>
    <w:p w14:paraId="4205A6D4" w14:textId="76820466" w:rsidR="005B5D68" w:rsidRPr="003005CD" w:rsidRDefault="005B5D68" w:rsidP="003005CD">
      <w:pPr>
        <w:spacing w:after="160" w:afterAutospacing="0" w:line="259" w:lineRule="auto"/>
        <w:jc w:val="left"/>
        <w:rPr>
          <w:rFonts w:eastAsia="Calibri" w:cs="Arial"/>
          <w:b/>
          <w:color w:val="000000"/>
          <w:sz w:val="24"/>
          <w:szCs w:val="24"/>
        </w:rPr>
      </w:pPr>
    </w:p>
    <w:sectPr w:rsidR="005B5D68" w:rsidRPr="00300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CD"/>
    <w:rsid w:val="003005CD"/>
    <w:rsid w:val="00420309"/>
    <w:rsid w:val="005B5D68"/>
    <w:rsid w:val="00BC0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4F33"/>
  <w15:chartTrackingRefBased/>
  <w15:docId w15:val="{BEE1B92A-C38C-49FF-B706-17392E702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5CD"/>
    <w:pPr>
      <w:spacing w:after="100" w:afterAutospacing="1" w:line="240" w:lineRule="auto"/>
      <w:jc w:val="both"/>
    </w:pPr>
    <w:rPr>
      <w:rFonts w:ascii="Arial" w:eastAsia="Times New Roman" w:hAnsi="Arial" w:cs="Times New Roman"/>
      <w:kern w:val="0"/>
      <w14:ligatures w14:val="none"/>
    </w:rPr>
  </w:style>
  <w:style w:type="paragraph" w:styleId="Heading1">
    <w:name w:val="heading 1"/>
    <w:basedOn w:val="Normal"/>
    <w:next w:val="Normal"/>
    <w:link w:val="Heading1Char"/>
    <w:uiPriority w:val="9"/>
    <w:qFormat/>
    <w:rsid w:val="003005CD"/>
    <w:pPr>
      <w:keepNext/>
      <w:keepLines/>
      <w:spacing w:before="360" w:after="80" w:afterAutospacing="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05CD"/>
    <w:pPr>
      <w:keepNext/>
      <w:keepLines/>
      <w:spacing w:before="160" w:after="80" w:afterAutospacing="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05CD"/>
    <w:pPr>
      <w:keepNext/>
      <w:keepLines/>
      <w:spacing w:before="160" w:after="80" w:afterAutospacing="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05CD"/>
    <w:pPr>
      <w:keepNext/>
      <w:keepLines/>
      <w:spacing w:before="80" w:after="40" w:afterAutospacing="0" w:line="259"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005CD"/>
    <w:pPr>
      <w:keepNext/>
      <w:keepLines/>
      <w:spacing w:before="80" w:after="40" w:afterAutospacing="0" w:line="259"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005CD"/>
    <w:pPr>
      <w:keepNext/>
      <w:keepLines/>
      <w:spacing w:before="40" w:after="0" w:afterAutospacing="0" w:line="259"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005CD"/>
    <w:pPr>
      <w:keepNext/>
      <w:keepLines/>
      <w:spacing w:before="40" w:after="0" w:afterAutospacing="0" w:line="259"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005CD"/>
    <w:pPr>
      <w:keepNext/>
      <w:keepLines/>
      <w:spacing w:after="0" w:afterAutospacing="0" w:line="259"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005CD"/>
    <w:pPr>
      <w:keepNext/>
      <w:keepLines/>
      <w:spacing w:after="0" w:afterAutospacing="0" w:line="259"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5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5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5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05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05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05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5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5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5CD"/>
    <w:rPr>
      <w:rFonts w:eastAsiaTheme="majorEastAsia" w:cstheme="majorBidi"/>
      <w:color w:val="272727" w:themeColor="text1" w:themeTint="D8"/>
    </w:rPr>
  </w:style>
  <w:style w:type="paragraph" w:styleId="Title">
    <w:name w:val="Title"/>
    <w:basedOn w:val="Normal"/>
    <w:next w:val="Normal"/>
    <w:link w:val="TitleChar"/>
    <w:uiPriority w:val="10"/>
    <w:qFormat/>
    <w:rsid w:val="003005CD"/>
    <w:pPr>
      <w:spacing w:after="80" w:afterAutospacing="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05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5CD"/>
    <w:pPr>
      <w:numPr>
        <w:ilvl w:val="1"/>
      </w:numPr>
      <w:spacing w:after="160" w:afterAutospacing="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05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5CD"/>
    <w:pPr>
      <w:spacing w:before="160" w:after="160" w:afterAutospacing="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005CD"/>
    <w:rPr>
      <w:i/>
      <w:iCs/>
      <w:color w:val="404040" w:themeColor="text1" w:themeTint="BF"/>
    </w:rPr>
  </w:style>
  <w:style w:type="paragraph" w:styleId="ListParagraph">
    <w:name w:val="List Paragraph"/>
    <w:basedOn w:val="Normal"/>
    <w:uiPriority w:val="34"/>
    <w:qFormat/>
    <w:rsid w:val="003005CD"/>
    <w:pPr>
      <w:spacing w:after="160" w:afterAutospacing="0" w:line="259"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005CD"/>
    <w:rPr>
      <w:i/>
      <w:iCs/>
      <w:color w:val="0F4761" w:themeColor="accent1" w:themeShade="BF"/>
    </w:rPr>
  </w:style>
  <w:style w:type="paragraph" w:styleId="IntenseQuote">
    <w:name w:val="Intense Quote"/>
    <w:basedOn w:val="Normal"/>
    <w:next w:val="Normal"/>
    <w:link w:val="IntenseQuoteChar"/>
    <w:uiPriority w:val="30"/>
    <w:qFormat/>
    <w:rsid w:val="003005CD"/>
    <w:pPr>
      <w:pBdr>
        <w:top w:val="single" w:sz="4" w:space="10" w:color="0F4761" w:themeColor="accent1" w:themeShade="BF"/>
        <w:bottom w:val="single" w:sz="4" w:space="10" w:color="0F4761" w:themeColor="accent1" w:themeShade="BF"/>
      </w:pBdr>
      <w:spacing w:before="360" w:after="360" w:afterAutospacing="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005CD"/>
    <w:rPr>
      <w:i/>
      <w:iCs/>
      <w:color w:val="0F4761" w:themeColor="accent1" w:themeShade="BF"/>
    </w:rPr>
  </w:style>
  <w:style w:type="character" w:styleId="IntenseReference">
    <w:name w:val="Intense Reference"/>
    <w:basedOn w:val="DefaultParagraphFont"/>
    <w:uiPriority w:val="32"/>
    <w:qFormat/>
    <w:rsid w:val="003005CD"/>
    <w:rPr>
      <w:b/>
      <w:bCs/>
      <w:smallCaps/>
      <w:color w:val="0F4761" w:themeColor="accent1" w:themeShade="BF"/>
      <w:spacing w:val="5"/>
    </w:rPr>
  </w:style>
  <w:style w:type="character" w:styleId="Hyperlink">
    <w:name w:val="Hyperlink"/>
    <w:uiPriority w:val="99"/>
    <w:rsid w:val="003005CD"/>
    <w:rPr>
      <w:color w:val="0000FF"/>
      <w:u w:val="single"/>
    </w:rPr>
  </w:style>
  <w:style w:type="paragraph" w:customStyle="1" w:styleId="Body">
    <w:name w:val="Body"/>
    <w:basedOn w:val="Normal"/>
    <w:rsid w:val="003005CD"/>
    <w:pPr>
      <w:suppressAutoHyphens/>
      <w:autoSpaceDE w:val="0"/>
      <w:autoSpaceDN w:val="0"/>
      <w:adjustRightInd w:val="0"/>
      <w:spacing w:after="200" w:afterAutospacing="0"/>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iminologicalencounters.org/index.php/crimenc.%20DOI%2010.26395" TargetMode="External"/><Relationship Id="rId5" Type="http://schemas.openxmlformats.org/officeDocument/2006/relationships/hyperlink" Target="https://workingwithcrowds.com/wp-content/uploads/2018/05/Dr_Clifford_Scott_Crowd_Psychology_and_Public_Order_Policing.pdf"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2137</Words>
  <Characters>12184</Characters>
  <Application>Microsoft Office Word</Application>
  <DocSecurity>0</DocSecurity>
  <Lines>101</Lines>
  <Paragraphs>28</Paragraphs>
  <ScaleCrop>false</ScaleCrop>
  <Company/>
  <LinksUpToDate>false</LinksUpToDate>
  <CharactersWithSpaces>14293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rawlings</dc:creator>
  <cp:keywords/>
  <dc:description/>
  <cp:lastModifiedBy>stephen rawlings</cp:lastModifiedBy>
  <cp:revision>1</cp:revision>
  <dcterms:created xsi:type="dcterms:W3CDTF">2026-06-03T07:44:00Z</dcterms:created>
  <dcterms:modified xsi:type="dcterms:W3CDTF">2026-06-03T07:45:00Z</dcterms:modified>
</cp:coreProperties>
</file>